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49" w:rsidRPr="00791FBD" w:rsidRDefault="00791FBD" w:rsidP="00B97AC6">
      <w:pPr>
        <w:jc w:val="center"/>
      </w:pPr>
      <w:r w:rsidRPr="00791FBD">
        <w:rPr>
          <w:rFonts w:asciiTheme="majorHAnsi" w:eastAsiaTheme="majorEastAsia" w:hAnsiTheme="majorHAnsi" w:cstheme="majorBidi"/>
          <w:b/>
          <w:color w:val="2E74B5" w:themeColor="accent1" w:themeShade="BF"/>
          <w:sz w:val="32"/>
          <w:szCs w:val="32"/>
        </w:rPr>
        <w:t xml:space="preserve">L’utilisation du CARAP pour les curriculums </w:t>
      </w:r>
      <w:proofErr w:type="gramStart"/>
      <w:r w:rsidRPr="00791FBD">
        <w:rPr>
          <w:rFonts w:asciiTheme="majorHAnsi" w:eastAsiaTheme="majorEastAsia" w:hAnsiTheme="majorHAnsi" w:cstheme="majorBidi"/>
          <w:b/>
          <w:color w:val="2E74B5" w:themeColor="accent1" w:themeShade="BF"/>
          <w:sz w:val="32"/>
          <w:szCs w:val="32"/>
        </w:rPr>
        <w:t>:</w:t>
      </w:r>
      <w:proofErr w:type="gramEnd"/>
      <w:r w:rsidRPr="00791FBD">
        <w:rPr>
          <w:rFonts w:asciiTheme="majorHAnsi" w:eastAsiaTheme="majorEastAsia" w:hAnsiTheme="majorHAnsi" w:cstheme="majorBidi"/>
          <w:b/>
          <w:color w:val="2E74B5" w:themeColor="accent1" w:themeShade="BF"/>
          <w:sz w:val="32"/>
          <w:szCs w:val="32"/>
        </w:rPr>
        <w:br/>
        <w:t>Trois cas</w:t>
      </w:r>
    </w:p>
    <w:p w:rsidR="00E365DE" w:rsidRPr="00E365DE" w:rsidRDefault="00E365DE" w:rsidP="00E365DE">
      <w:pPr>
        <w:rPr>
          <w:sz w:val="32"/>
          <w:szCs w:val="32"/>
        </w:rPr>
      </w:pPr>
      <w:r w:rsidRPr="008139B4">
        <w:rPr>
          <w:b/>
          <w:color w:val="FF0000"/>
          <w:sz w:val="44"/>
          <w:szCs w:val="44"/>
        </w:rPr>
        <w:t xml:space="preserve">≥ </w:t>
      </w:r>
      <w:r w:rsidRPr="00E365DE">
        <w:rPr>
          <w:b/>
          <w:color w:val="FF0000"/>
          <w:sz w:val="32"/>
          <w:szCs w:val="32"/>
        </w:rPr>
        <w:t xml:space="preserve">= animation </w:t>
      </w:r>
      <w:r w:rsidR="00791FBD">
        <w:rPr>
          <w:b/>
          <w:color w:val="FF0000"/>
          <w:sz w:val="32"/>
          <w:szCs w:val="32"/>
        </w:rPr>
        <w:t>à l’intérieur d’une diapositive</w:t>
      </w:r>
      <w:r w:rsidRPr="00E365DE">
        <w:rPr>
          <w:b/>
          <w:color w:val="FF0000"/>
          <w:sz w:val="32"/>
          <w:szCs w:val="32"/>
        </w:rPr>
        <w:t>.</w:t>
      </w:r>
    </w:p>
    <w:p w:rsidR="00E365DE" w:rsidRPr="00E365DE" w:rsidRDefault="00E365DE"/>
    <w:p w:rsidR="009D3A49" w:rsidRPr="00C406CA" w:rsidRDefault="009D3A49" w:rsidP="009D3A49">
      <w:pPr>
        <w:pStyle w:val="Paragraphedeliste"/>
        <w:numPr>
          <w:ilvl w:val="0"/>
          <w:numId w:val="1"/>
        </w:numPr>
        <w:ind w:left="284" w:hanging="568"/>
        <w:rPr>
          <w:b/>
          <w:color w:val="FF0000"/>
          <w:sz w:val="32"/>
          <w:szCs w:val="32"/>
          <w:lang w:val="de-DE"/>
        </w:rPr>
      </w:pPr>
      <w:r w:rsidRPr="00E365DE">
        <w:rPr>
          <w:sz w:val="28"/>
          <w:szCs w:val="28"/>
        </w:rPr>
        <w:t xml:space="preserve"> </w:t>
      </w:r>
      <w:r w:rsidR="00B97AC6">
        <w:rPr>
          <w:sz w:val="28"/>
          <w:szCs w:val="28"/>
        </w:rPr>
        <w:t>(</w:t>
      </w:r>
      <w:proofErr w:type="spellStart"/>
      <w:r w:rsidR="00791FBD">
        <w:rPr>
          <w:sz w:val="28"/>
          <w:szCs w:val="28"/>
          <w:lang w:val="de-DE"/>
        </w:rPr>
        <w:t>Titr</w:t>
      </w:r>
      <w:r>
        <w:rPr>
          <w:sz w:val="28"/>
          <w:szCs w:val="28"/>
          <w:lang w:val="de-DE"/>
        </w:rPr>
        <w:t>e</w:t>
      </w:r>
      <w:proofErr w:type="spellEnd"/>
      <w:r w:rsidR="00B97AC6">
        <w:rPr>
          <w:sz w:val="28"/>
          <w:szCs w:val="28"/>
          <w:lang w:val="de-DE"/>
        </w:rPr>
        <w:t>)</w:t>
      </w:r>
      <w:r>
        <w:rPr>
          <w:sz w:val="28"/>
          <w:szCs w:val="28"/>
          <w:lang w:val="de-DE"/>
        </w:rPr>
        <w:t xml:space="preserve"> </w:t>
      </w:r>
    </w:p>
    <w:p w:rsidR="00FE543B" w:rsidRDefault="00FE543B" w:rsidP="00FE543B">
      <w:pPr>
        <w:ind w:left="360"/>
        <w:rPr>
          <w:sz w:val="28"/>
          <w:szCs w:val="28"/>
          <w:lang w:val="de-DE"/>
        </w:rPr>
      </w:pPr>
      <w:r w:rsidRPr="00D81EF4">
        <w:rPr>
          <w:b/>
          <w:color w:val="FF0000"/>
          <w:sz w:val="44"/>
          <w:szCs w:val="44"/>
          <w:lang w:val="de-DE"/>
        </w:rPr>
        <w:t xml:space="preserve">≥ </w:t>
      </w:r>
    </w:p>
    <w:p w:rsidR="009D3A49" w:rsidRPr="00791FBD" w:rsidRDefault="00791FBD" w:rsidP="00791FBD">
      <w:pPr>
        <w:pStyle w:val="Diapo"/>
        <w:rPr>
          <w:b/>
          <w:color w:val="FF0000"/>
          <w:sz w:val="32"/>
          <w:szCs w:val="32"/>
        </w:rPr>
      </w:pPr>
      <w:r w:rsidRPr="00791FBD">
        <w:t>L’intention de ce document est de vous donner quelques informations sur trois cas dans lesquels le CARAP a indubitablement joué un rôle dans la conception d’un nouveau curriculum pour l’éducation scolaire. Ces cas seront présentés dans un ordre chronologique, de sorte que nous commençons par le curriculum de la Suisse romande</w:t>
      </w:r>
      <w:proofErr w:type="gramStart"/>
      <w:r w:rsidRPr="00791FBD">
        <w:t>.</w:t>
      </w:r>
      <w:r w:rsidR="009D3A49" w:rsidRPr="00791FBD">
        <w:t>.</w:t>
      </w:r>
      <w:proofErr w:type="gramEnd"/>
      <w:r w:rsidR="009D3A49" w:rsidRPr="00791FBD">
        <w:t xml:space="preserve"> </w:t>
      </w:r>
      <w:r w:rsidR="00C93FA6" w:rsidRPr="00791FBD">
        <w:br/>
      </w:r>
    </w:p>
    <w:p w:rsidR="00B97AC6" w:rsidRPr="00791FBD" w:rsidRDefault="00791FBD" w:rsidP="00791FBD">
      <w:pPr>
        <w:pStyle w:val="Diapo"/>
        <w:rPr>
          <w:b/>
          <w:color w:val="FF0000"/>
          <w:sz w:val="32"/>
          <w:szCs w:val="32"/>
        </w:rPr>
      </w:pPr>
      <w:r w:rsidRPr="00791FBD">
        <w:t>Le Domaine des langues est présenté de la façon suivante sur le site du PER</w:t>
      </w:r>
      <w:r w:rsidR="00B97AC6" w:rsidRPr="00791FBD">
        <w:t xml:space="preserve">. </w:t>
      </w:r>
      <w:r w:rsidRPr="00791FBD">
        <w:t>Clairement, de telles visées sont en convergence avec les principes qui sous-tendent les approches plurielles</w:t>
      </w:r>
      <w:r w:rsidR="00B97AC6" w:rsidRPr="00791FBD">
        <w:t>.</w:t>
      </w:r>
      <w:r w:rsidR="00C93FA6" w:rsidRPr="00791FBD">
        <w:br/>
      </w:r>
    </w:p>
    <w:p w:rsidR="00AC07EE" w:rsidRPr="00791FBD" w:rsidRDefault="00791FBD" w:rsidP="00791FBD">
      <w:pPr>
        <w:pStyle w:val="Diapo"/>
        <w:rPr>
          <w:b/>
          <w:color w:val="FF0000"/>
          <w:sz w:val="32"/>
          <w:szCs w:val="32"/>
        </w:rPr>
      </w:pPr>
      <w:r w:rsidRPr="00791FBD">
        <w:t>Le lien le plus clair avec les approches plurielles se trouve dans une dimension (un « axe thématique ») du curriculum qui existe pour toutes les langues apprises, y com</w:t>
      </w:r>
      <w:r>
        <w:t>pris la langue de scolarisation :</w:t>
      </w:r>
      <w:r w:rsidR="00B97AC6" w:rsidRPr="00791FBD">
        <w:t xml:space="preserve">   </w:t>
      </w:r>
    </w:p>
    <w:p w:rsidR="00C93FA6" w:rsidRPr="00791FBD" w:rsidRDefault="00C93FA6" w:rsidP="00C93FA6">
      <w:pPr>
        <w:rPr>
          <w:sz w:val="28"/>
          <w:szCs w:val="28"/>
        </w:rPr>
      </w:pPr>
      <w:r w:rsidRPr="00791FBD">
        <w:rPr>
          <w:b/>
          <w:color w:val="FF0000"/>
          <w:sz w:val="44"/>
          <w:szCs w:val="44"/>
        </w:rPr>
        <w:t xml:space="preserve">≥ </w:t>
      </w:r>
      <w:r w:rsidR="00791FBD" w:rsidRPr="00791FBD">
        <w:rPr>
          <w:sz w:val="28"/>
          <w:szCs w:val="28"/>
        </w:rPr>
        <w:t xml:space="preserve">Cette dimension s’intitule : « Approches </w:t>
      </w:r>
      <w:proofErr w:type="spellStart"/>
      <w:r w:rsidR="00791FBD" w:rsidRPr="00791FBD">
        <w:rPr>
          <w:sz w:val="28"/>
          <w:szCs w:val="28"/>
        </w:rPr>
        <w:t>interlinguistiques</w:t>
      </w:r>
      <w:proofErr w:type="spellEnd"/>
      <w:r w:rsidR="00791FBD" w:rsidRPr="00791FBD">
        <w:rPr>
          <w:sz w:val="28"/>
          <w:szCs w:val="28"/>
        </w:rPr>
        <w:t> »</w:t>
      </w:r>
      <w:r w:rsidR="00791FBD">
        <w:rPr>
          <w:sz w:val="28"/>
          <w:szCs w:val="28"/>
        </w:rPr>
        <w:t>.</w:t>
      </w:r>
    </w:p>
    <w:p w:rsidR="004A4CDC" w:rsidRPr="00791FBD" w:rsidRDefault="00791FBD" w:rsidP="00791FBD">
      <w:pPr>
        <w:pStyle w:val="Diapo"/>
        <w:rPr>
          <w:b/>
          <w:color w:val="FF0000"/>
          <w:sz w:val="32"/>
          <w:szCs w:val="32"/>
        </w:rPr>
      </w:pPr>
      <w:r w:rsidRPr="00791FBD">
        <w:t>Cet axe thématique est défini de la façon suivante :</w:t>
      </w:r>
      <w:r w:rsidR="00C93FA6" w:rsidRPr="00791FBD">
        <w:t xml:space="preserve"> </w:t>
      </w:r>
      <w:r w:rsidR="00C93FA6" w:rsidRPr="00791FBD">
        <w:br/>
        <w:t>…</w:t>
      </w:r>
      <w:r w:rsidR="00C93FA6" w:rsidRPr="00791FBD">
        <w:br/>
      </w:r>
      <w:r w:rsidRPr="00791FBD">
        <w:t>A nouveau, la correspondance avec les appr</w:t>
      </w:r>
      <w:r>
        <w:t>oches plurielles est très forte</w:t>
      </w:r>
      <w:r w:rsidR="00C93FA6" w:rsidRPr="00791FBD">
        <w:t>.</w:t>
      </w:r>
      <w:r w:rsidR="00C93FA6" w:rsidRPr="00791FBD">
        <w:br/>
      </w:r>
    </w:p>
    <w:p w:rsidR="00EB2714" w:rsidRPr="00791FBD" w:rsidRDefault="00791FBD" w:rsidP="00791FBD">
      <w:pPr>
        <w:pStyle w:val="Diapo"/>
        <w:rPr>
          <w:b/>
          <w:color w:val="FF0000"/>
          <w:sz w:val="32"/>
          <w:szCs w:val="32"/>
        </w:rPr>
      </w:pPr>
      <w:r w:rsidRPr="00791FBD">
        <w:t xml:space="preserve">Voici à présent les descripteurs de l’axe « Approches </w:t>
      </w:r>
      <w:proofErr w:type="spellStart"/>
      <w:r w:rsidRPr="00791FBD">
        <w:t>interlinguistiques</w:t>
      </w:r>
      <w:proofErr w:type="spellEnd"/>
      <w:r w:rsidRPr="00791FBD">
        <w:t> » pour le cycle 1 (dernière année de maternelle, deux premières années de primaire)</w:t>
      </w:r>
      <w:r w:rsidR="004F4B97" w:rsidRPr="00791FBD">
        <w:t>.</w:t>
      </w:r>
      <w:r w:rsidR="00EB2714" w:rsidRPr="00791FBD">
        <w:t xml:space="preserve"> </w:t>
      </w:r>
    </w:p>
    <w:p w:rsidR="00C93FA6" w:rsidRPr="00791FBD" w:rsidRDefault="00791FBD" w:rsidP="00C93FA6">
      <w:pPr>
        <w:spacing w:after="0"/>
        <w:ind w:left="360"/>
        <w:rPr>
          <w:sz w:val="28"/>
          <w:szCs w:val="28"/>
        </w:rPr>
      </w:pPr>
      <w:r w:rsidRPr="00791FBD">
        <w:rPr>
          <w:sz w:val="28"/>
          <w:szCs w:val="28"/>
        </w:rPr>
        <w:lastRenderedPageBreak/>
        <w:t xml:space="preserve">Comme l’indiquent Jean-François de Pietro, Brigitte Gerber, Beatrice </w:t>
      </w:r>
      <w:proofErr w:type="spellStart"/>
      <w:r w:rsidRPr="00791FBD">
        <w:rPr>
          <w:sz w:val="28"/>
          <w:szCs w:val="28"/>
        </w:rPr>
        <w:t>Leonforte</w:t>
      </w:r>
      <w:proofErr w:type="spellEnd"/>
      <w:r w:rsidRPr="00791FBD">
        <w:rPr>
          <w:sz w:val="28"/>
          <w:szCs w:val="28"/>
        </w:rPr>
        <w:t xml:space="preserve"> &amp; Karine </w:t>
      </w:r>
      <w:proofErr w:type="spellStart"/>
      <w:r w:rsidRPr="00791FBD">
        <w:rPr>
          <w:sz w:val="28"/>
          <w:szCs w:val="28"/>
        </w:rPr>
        <w:t>Lichtenauer</w:t>
      </w:r>
      <w:proofErr w:type="spellEnd"/>
      <w:r w:rsidRPr="00791FBD">
        <w:rPr>
          <w:sz w:val="28"/>
          <w:szCs w:val="28"/>
        </w:rPr>
        <w:t xml:space="preserve"> dans un article consacré aux curriculums suisses dans le numéro 2 / 2015 de la revue </w:t>
      </w:r>
      <w:proofErr w:type="spellStart"/>
      <w:r w:rsidRPr="00791FBD">
        <w:rPr>
          <w:sz w:val="28"/>
          <w:szCs w:val="28"/>
        </w:rPr>
        <w:t>Babylonia</w:t>
      </w:r>
      <w:proofErr w:type="spellEnd"/>
      <w:r w:rsidRPr="00791FBD">
        <w:rPr>
          <w:sz w:val="28"/>
          <w:szCs w:val="28"/>
        </w:rPr>
        <w:t>,* « Même s’ils restent à un niveau assez général, on constate immédiatement que ces descripteurs peuvent aisément être reliés à ceux qu’on trouve dans le référentiel Compétences et ressources [du CARAP]. Ces derniers pourraient même aider à les préciser et les concrétiser, tout en donnant par ailleurs accès aux activités inclues dans les matériaux didactiques en ligne. »</w:t>
      </w:r>
    </w:p>
    <w:p w:rsidR="00C93FA6" w:rsidRPr="00791FBD" w:rsidRDefault="00791FBD" w:rsidP="00C93FA6">
      <w:pPr>
        <w:spacing w:after="0"/>
        <w:ind w:left="360"/>
        <w:rPr>
          <w:sz w:val="28"/>
          <w:szCs w:val="28"/>
        </w:rPr>
      </w:pPr>
      <w:r w:rsidRPr="00791FBD">
        <w:rPr>
          <w:sz w:val="28"/>
          <w:szCs w:val="28"/>
        </w:rPr>
        <w:t>Cependant, le CARAP n’est pas cité explicitement dans le PER, même si on peut être sûr que la connaissance du CARAP faisait partie du bagage de beaucoup d’auteurs du PER</w:t>
      </w:r>
      <w:r>
        <w:rPr>
          <w:sz w:val="28"/>
          <w:szCs w:val="28"/>
        </w:rPr>
        <w:t>.</w:t>
      </w:r>
      <w:r w:rsidR="00C93FA6" w:rsidRPr="00791FBD">
        <w:rPr>
          <w:sz w:val="28"/>
          <w:szCs w:val="28"/>
        </w:rPr>
        <w:t xml:space="preserve"> </w:t>
      </w:r>
    </w:p>
    <w:p w:rsidR="00C93FA6" w:rsidRPr="00C93FA6" w:rsidRDefault="00C93FA6" w:rsidP="000F4646">
      <w:pPr>
        <w:ind w:left="360"/>
        <w:rPr>
          <w:sz w:val="28"/>
          <w:szCs w:val="28"/>
          <w:lang w:val="en-GB"/>
        </w:rPr>
      </w:pPr>
      <w:r w:rsidRPr="00C93FA6">
        <w:rPr>
          <w:sz w:val="28"/>
          <w:szCs w:val="28"/>
          <w:lang w:val="de-DE"/>
        </w:rPr>
        <w:t xml:space="preserve">* De Pietro, J.-F., Gerber, B., </w:t>
      </w:r>
      <w:proofErr w:type="spellStart"/>
      <w:r w:rsidRPr="00C93FA6">
        <w:rPr>
          <w:sz w:val="28"/>
          <w:szCs w:val="28"/>
          <w:lang w:val="de-DE"/>
        </w:rPr>
        <w:t>Leonforte</w:t>
      </w:r>
      <w:proofErr w:type="spellEnd"/>
      <w:r w:rsidRPr="00C93FA6">
        <w:rPr>
          <w:sz w:val="28"/>
          <w:szCs w:val="28"/>
          <w:lang w:val="de-DE"/>
        </w:rPr>
        <w:t xml:space="preserve">, B., &amp; </w:t>
      </w:r>
      <w:proofErr w:type="spellStart"/>
      <w:r w:rsidRPr="00C93FA6">
        <w:rPr>
          <w:sz w:val="28"/>
          <w:szCs w:val="28"/>
          <w:lang w:val="de-DE"/>
        </w:rPr>
        <w:t>Lichtenauer</w:t>
      </w:r>
      <w:proofErr w:type="spellEnd"/>
      <w:r w:rsidRPr="00C93FA6">
        <w:rPr>
          <w:sz w:val="28"/>
          <w:szCs w:val="28"/>
          <w:lang w:val="de-DE"/>
        </w:rPr>
        <w:t xml:space="preserve">, K. (2015). </w:t>
      </w:r>
      <w:r w:rsidRPr="00C93FA6">
        <w:rPr>
          <w:sz w:val="28"/>
          <w:szCs w:val="28"/>
        </w:rPr>
        <w:t xml:space="preserve">Quelle place pour les approches plurielles dans les nouveaux plans d’études des trois régions linguistiques de la Suisse? </w:t>
      </w:r>
      <w:r w:rsidRPr="00C93FA6">
        <w:rPr>
          <w:sz w:val="28"/>
          <w:szCs w:val="28"/>
          <w:lang w:val="en-GB"/>
        </w:rPr>
        <w:t>Babylonia 2, 59-65.</w:t>
      </w:r>
    </w:p>
    <w:p w:rsidR="004F4B97" w:rsidRPr="0068525D" w:rsidRDefault="004F4B97" w:rsidP="004A4CDC">
      <w:pPr>
        <w:pStyle w:val="Diapo"/>
        <w:rPr>
          <w:b/>
          <w:color w:val="FF0000"/>
          <w:sz w:val="32"/>
          <w:szCs w:val="32"/>
        </w:rPr>
      </w:pPr>
      <w:r>
        <w:t xml:space="preserve"> </w:t>
      </w:r>
    </w:p>
    <w:p w:rsidR="009363DF" w:rsidRPr="00791FBD" w:rsidRDefault="00791FBD" w:rsidP="00791FBD">
      <w:pPr>
        <w:pStyle w:val="Diapo"/>
        <w:rPr>
          <w:b/>
          <w:color w:val="FF0000"/>
          <w:sz w:val="32"/>
          <w:szCs w:val="32"/>
        </w:rPr>
      </w:pPr>
      <w:r w:rsidRPr="00791FBD">
        <w:t>Notre second exemple est le nouveau curriculum finlandais</w:t>
      </w:r>
      <w:r w:rsidR="009363DF" w:rsidRPr="00791FBD">
        <w:t xml:space="preserve"> </w:t>
      </w:r>
    </w:p>
    <w:p w:rsidR="00FB47BB" w:rsidRPr="00791FBD" w:rsidRDefault="00EB794E" w:rsidP="00791FBD">
      <w:pPr>
        <w:pStyle w:val="Diapo"/>
        <w:rPr>
          <w:b/>
          <w:color w:val="FF0000"/>
          <w:sz w:val="32"/>
          <w:szCs w:val="32"/>
        </w:rPr>
      </w:pPr>
      <w:r>
        <w:rPr>
          <w:lang w:val="en-GB"/>
        </w:rPr>
        <w:t>…</w:t>
      </w:r>
      <w:r>
        <w:rPr>
          <w:lang w:val="en-GB"/>
        </w:rPr>
        <w:br/>
      </w:r>
      <w:r w:rsidR="00791FBD" w:rsidRPr="00791FBD">
        <w:t>Pour comprendre le lien entre les deux initiatives, il faut savoir que le système éducatif finlandais est en partie décentralisé et que les municipalités peuvent proposer des compléments d’enseignement pour leurs écoles</w:t>
      </w:r>
      <w:r w:rsidRPr="00791FBD">
        <w:t>.</w:t>
      </w:r>
    </w:p>
    <w:p w:rsidR="000F34D6" w:rsidRPr="00791FBD" w:rsidRDefault="00791FBD" w:rsidP="00E334F8">
      <w:pPr>
        <w:rPr>
          <w:sz w:val="28"/>
          <w:szCs w:val="28"/>
        </w:rPr>
      </w:pPr>
      <w:r w:rsidRPr="00791FBD">
        <w:rPr>
          <w:sz w:val="28"/>
          <w:szCs w:val="28"/>
        </w:rPr>
        <w:t xml:space="preserve">Dans le cas du « Chemin de la citoyenneté globale » </w:t>
      </w:r>
      <w:proofErr w:type="gramStart"/>
      <w:r w:rsidRPr="00791FBD">
        <w:rPr>
          <w:sz w:val="28"/>
          <w:szCs w:val="28"/>
        </w:rPr>
        <w:t>de Oulu</w:t>
      </w:r>
      <w:proofErr w:type="gramEnd"/>
      <w:r w:rsidRPr="00791FBD">
        <w:rPr>
          <w:sz w:val="28"/>
          <w:szCs w:val="28"/>
        </w:rPr>
        <w:t>, le matériel conçu est recommandé par le Ministère pour l’ensemble du pays</w:t>
      </w:r>
      <w:r w:rsidR="006C1924" w:rsidRPr="00791FBD">
        <w:rPr>
          <w:sz w:val="28"/>
          <w:szCs w:val="28"/>
        </w:rPr>
        <w:t xml:space="preserve">. </w:t>
      </w:r>
    </w:p>
    <w:p w:rsidR="00EB794E" w:rsidRPr="00791FBD" w:rsidRDefault="00791FBD" w:rsidP="00FD67B4">
      <w:pPr>
        <w:pStyle w:val="Diapo"/>
        <w:rPr>
          <w:b/>
          <w:color w:val="FF0000"/>
          <w:sz w:val="32"/>
          <w:szCs w:val="32"/>
        </w:rPr>
      </w:pPr>
      <w:r w:rsidRPr="00791FBD">
        <w:t>Ce  Chemin de la citoyenneté globale” propose deux éléments</w:t>
      </w:r>
      <w:r>
        <w:t> :</w:t>
      </w:r>
    </w:p>
    <w:p w:rsidR="00EB794E" w:rsidRPr="00EB794E" w:rsidRDefault="00EB794E" w:rsidP="00FD67B4">
      <w:pPr>
        <w:pStyle w:val="Paragraphedeliste"/>
        <w:numPr>
          <w:ilvl w:val="0"/>
          <w:numId w:val="9"/>
        </w:numPr>
        <w:rPr>
          <w:sz w:val="28"/>
          <w:szCs w:val="28"/>
          <w:lang w:val="en-GB"/>
        </w:rPr>
      </w:pPr>
      <w:r w:rsidRPr="00EB794E">
        <w:rPr>
          <w:b/>
          <w:color w:val="FF0000"/>
          <w:sz w:val="44"/>
          <w:szCs w:val="44"/>
          <w:lang w:val="en-GB"/>
        </w:rPr>
        <w:t xml:space="preserve">≥ </w:t>
      </w:r>
      <w:proofErr w:type="spellStart"/>
      <w:r w:rsidR="00FD67B4" w:rsidRPr="00FD67B4">
        <w:rPr>
          <w:sz w:val="28"/>
          <w:szCs w:val="28"/>
          <w:lang w:val="en-GB"/>
        </w:rPr>
        <w:t>Deux</w:t>
      </w:r>
      <w:proofErr w:type="spellEnd"/>
      <w:r w:rsidR="00FD67B4" w:rsidRPr="00FD67B4">
        <w:rPr>
          <w:sz w:val="28"/>
          <w:szCs w:val="28"/>
          <w:lang w:val="en-GB"/>
        </w:rPr>
        <w:t xml:space="preserve"> ensembles </w:t>
      </w:r>
      <w:proofErr w:type="spellStart"/>
      <w:r w:rsidR="00FD67B4" w:rsidRPr="00FD67B4">
        <w:rPr>
          <w:sz w:val="28"/>
          <w:szCs w:val="28"/>
          <w:lang w:val="en-GB"/>
        </w:rPr>
        <w:t>d’objectifs</w:t>
      </w:r>
      <w:proofErr w:type="spellEnd"/>
      <w:r w:rsidR="00FD67B4" w:rsidRPr="00FD67B4">
        <w:rPr>
          <w:sz w:val="28"/>
          <w:szCs w:val="28"/>
          <w:lang w:val="en-GB"/>
        </w:rPr>
        <w:t xml:space="preserve"> </w:t>
      </w:r>
      <w:proofErr w:type="spellStart"/>
      <w:r w:rsidR="00FD67B4" w:rsidRPr="00FD67B4">
        <w:rPr>
          <w:sz w:val="28"/>
          <w:szCs w:val="28"/>
          <w:lang w:val="en-GB"/>
        </w:rPr>
        <w:t>d’enseignement</w:t>
      </w:r>
      <w:proofErr w:type="spellEnd"/>
      <w:r w:rsidRPr="00EB794E">
        <w:rPr>
          <w:sz w:val="28"/>
          <w:szCs w:val="28"/>
          <w:lang w:val="en-GB"/>
        </w:rPr>
        <w:t>.</w:t>
      </w:r>
    </w:p>
    <w:p w:rsidR="00EB794E" w:rsidRPr="00EB794E" w:rsidRDefault="00EB794E" w:rsidP="00FD67B4">
      <w:pPr>
        <w:pStyle w:val="Paragraphedeliste"/>
        <w:numPr>
          <w:ilvl w:val="0"/>
          <w:numId w:val="9"/>
        </w:numPr>
        <w:rPr>
          <w:sz w:val="28"/>
          <w:szCs w:val="28"/>
          <w:lang w:val="en-GB"/>
        </w:rPr>
      </w:pPr>
      <w:r w:rsidRPr="00EB794E">
        <w:rPr>
          <w:b/>
          <w:color w:val="FF0000"/>
          <w:sz w:val="44"/>
          <w:szCs w:val="44"/>
          <w:lang w:val="en-GB"/>
        </w:rPr>
        <w:t xml:space="preserve">≥ </w:t>
      </w:r>
      <w:r w:rsidR="00FD67B4" w:rsidRPr="00FD67B4">
        <w:rPr>
          <w:sz w:val="28"/>
          <w:szCs w:val="28"/>
          <w:lang w:val="en-GB"/>
        </w:rPr>
        <w:t xml:space="preserve">Des </w:t>
      </w:r>
      <w:proofErr w:type="spellStart"/>
      <w:r w:rsidR="00FD67B4" w:rsidRPr="00FD67B4">
        <w:rPr>
          <w:sz w:val="28"/>
          <w:szCs w:val="28"/>
          <w:lang w:val="en-GB"/>
        </w:rPr>
        <w:t>matériaux</w:t>
      </w:r>
      <w:proofErr w:type="spellEnd"/>
      <w:r w:rsidR="00FD67B4" w:rsidRPr="00FD67B4">
        <w:rPr>
          <w:sz w:val="28"/>
          <w:szCs w:val="28"/>
          <w:lang w:val="en-GB"/>
        </w:rPr>
        <w:t xml:space="preserve"> </w:t>
      </w:r>
      <w:proofErr w:type="spellStart"/>
      <w:r w:rsidR="00FD67B4" w:rsidRPr="00FD67B4">
        <w:rPr>
          <w:sz w:val="28"/>
          <w:szCs w:val="28"/>
          <w:lang w:val="en-GB"/>
        </w:rPr>
        <w:t>didactiques</w:t>
      </w:r>
      <w:proofErr w:type="spellEnd"/>
      <w:r w:rsidRPr="00EB794E">
        <w:rPr>
          <w:sz w:val="28"/>
          <w:szCs w:val="28"/>
          <w:lang w:val="en-GB"/>
        </w:rPr>
        <w:t>.</w:t>
      </w:r>
    </w:p>
    <w:p w:rsidR="00EB794E" w:rsidRPr="00FD67B4" w:rsidRDefault="00EB794E" w:rsidP="00EB794E">
      <w:pPr>
        <w:rPr>
          <w:sz w:val="28"/>
          <w:szCs w:val="28"/>
        </w:rPr>
      </w:pPr>
      <w:r w:rsidRPr="00FD67B4">
        <w:rPr>
          <w:b/>
          <w:color w:val="FF0000"/>
          <w:sz w:val="44"/>
          <w:szCs w:val="44"/>
        </w:rPr>
        <w:t xml:space="preserve">≥ </w:t>
      </w:r>
      <w:r w:rsidR="00FD67B4" w:rsidRPr="00FD67B4">
        <w:rPr>
          <w:sz w:val="28"/>
          <w:szCs w:val="28"/>
        </w:rPr>
        <w:t>Tous deux – objectifs d’enseignement et (certains) matériaux d’enseignement – ont été adaptés du CARAP</w:t>
      </w:r>
      <w:r w:rsidR="00FD67B4">
        <w:rPr>
          <w:sz w:val="28"/>
          <w:szCs w:val="28"/>
        </w:rPr>
        <w:t>.</w:t>
      </w:r>
    </w:p>
    <w:p w:rsidR="000D6AD1" w:rsidRPr="00FD67B4" w:rsidRDefault="00FD67B4" w:rsidP="00FD67B4">
      <w:pPr>
        <w:pStyle w:val="Diapo"/>
        <w:rPr>
          <w:b/>
          <w:color w:val="FF0000"/>
          <w:sz w:val="32"/>
          <w:szCs w:val="32"/>
        </w:rPr>
      </w:pPr>
      <w:r w:rsidRPr="00FD67B4">
        <w:lastRenderedPageBreak/>
        <w:t xml:space="preserve">Voici un résumé </w:t>
      </w:r>
      <w:r>
        <w:t>d</w:t>
      </w:r>
      <w:r w:rsidRPr="00FD67B4">
        <w:t>e la relation – indirecte – entre le CARAP et le nouveau curriculum finnois</w:t>
      </w:r>
      <w:r w:rsidR="000D6AD1" w:rsidRPr="00FD67B4">
        <w:t>.</w:t>
      </w:r>
    </w:p>
    <w:p w:rsidR="00587AF8" w:rsidRPr="00FD67B4" w:rsidRDefault="00FD67B4" w:rsidP="009D3A49">
      <w:pPr>
        <w:ind w:left="360"/>
        <w:rPr>
          <w:sz w:val="28"/>
          <w:szCs w:val="28"/>
        </w:rPr>
      </w:pPr>
      <w:r w:rsidRPr="00FD67B4">
        <w:rPr>
          <w:sz w:val="28"/>
          <w:szCs w:val="28"/>
        </w:rPr>
        <w:t xml:space="preserve">A nouveau, il n’y a pas de </w:t>
      </w:r>
      <w:proofErr w:type="spellStart"/>
      <w:r w:rsidRPr="00FD67B4">
        <w:rPr>
          <w:sz w:val="28"/>
          <w:szCs w:val="28"/>
        </w:rPr>
        <w:t>reference</w:t>
      </w:r>
      <w:proofErr w:type="spellEnd"/>
      <w:r w:rsidRPr="00FD67B4">
        <w:rPr>
          <w:sz w:val="28"/>
          <w:szCs w:val="28"/>
        </w:rPr>
        <w:t xml:space="preserve"> explicite au CARAP dans le curriculum lui-même, mais</w:t>
      </w:r>
      <w:r w:rsidR="000E2B38" w:rsidRPr="00FD67B4">
        <w:rPr>
          <w:sz w:val="28"/>
          <w:szCs w:val="28"/>
        </w:rPr>
        <w:t>..</w:t>
      </w:r>
      <w:r w:rsidR="00776015" w:rsidRPr="00FD67B4">
        <w:rPr>
          <w:sz w:val="28"/>
          <w:szCs w:val="28"/>
        </w:rPr>
        <w:t>.</w:t>
      </w:r>
    </w:p>
    <w:p w:rsidR="000D6AD1" w:rsidRPr="00FD67B4" w:rsidRDefault="00FD67B4" w:rsidP="00FD67B4">
      <w:pPr>
        <w:pStyle w:val="Diapo"/>
        <w:rPr>
          <w:b/>
          <w:color w:val="FF0000"/>
          <w:sz w:val="32"/>
          <w:szCs w:val="32"/>
        </w:rPr>
      </w:pPr>
      <w:r w:rsidRPr="00FD67B4">
        <w:t xml:space="preserve">Il devrait être clair que la relation indirecte entre le CARAP et le nouveau curriculum finnois par l’intermédiaire de l’instrument d’Oulu ne serait pas possible si le curriculum finnois n’avait pas adopté quelques </w:t>
      </w:r>
      <w:proofErr w:type="spellStart"/>
      <w:r w:rsidRPr="00FD67B4">
        <w:t>prinicpes</w:t>
      </w:r>
      <w:proofErr w:type="spellEnd"/>
      <w:r w:rsidRPr="00FD67B4">
        <w:t xml:space="preserve"> majeurs du CARAP</w:t>
      </w:r>
      <w:r w:rsidR="000D6AD1" w:rsidRPr="00FD67B4">
        <w:t>…</w:t>
      </w:r>
    </w:p>
    <w:p w:rsidR="000D6AD1" w:rsidRPr="00FD67B4" w:rsidRDefault="00FD67B4" w:rsidP="000D6AD1">
      <w:pPr>
        <w:ind w:left="568"/>
        <w:rPr>
          <w:sz w:val="28"/>
          <w:szCs w:val="28"/>
        </w:rPr>
      </w:pPr>
      <w:r w:rsidRPr="00FD67B4">
        <w:rPr>
          <w:sz w:val="28"/>
          <w:szCs w:val="28"/>
        </w:rPr>
        <w:t>Et de fait, une personne qui a été fortement impliquée dans la conception du curriculum nous a indiqué: “Bien sûr, nous avons été i</w:t>
      </w:r>
      <w:r>
        <w:rPr>
          <w:sz w:val="28"/>
          <w:szCs w:val="28"/>
        </w:rPr>
        <w:t>nspirés par les idées du CARAP”</w:t>
      </w:r>
      <w:r w:rsidR="000D6AD1" w:rsidRPr="00FD67B4">
        <w:rPr>
          <w:sz w:val="28"/>
          <w:szCs w:val="28"/>
        </w:rPr>
        <w:t>.</w:t>
      </w:r>
    </w:p>
    <w:p w:rsidR="00847AA5" w:rsidRPr="00A60A04" w:rsidRDefault="00FD67B4" w:rsidP="00FD67B4">
      <w:pPr>
        <w:pStyle w:val="Diapo"/>
        <w:rPr>
          <w:b/>
          <w:color w:val="FF0000"/>
          <w:sz w:val="32"/>
          <w:szCs w:val="32"/>
          <w:lang w:val="en-GB"/>
        </w:rPr>
      </w:pPr>
      <w:r w:rsidRPr="00FD67B4">
        <w:t xml:space="preserve">Voici les deux ensembles d’objectifs d’enseignement proposés dans le « Chemin de la citoyenneté globale » </w:t>
      </w:r>
      <w:proofErr w:type="gramStart"/>
      <w:r w:rsidRPr="00FD67B4">
        <w:t>de Oulu</w:t>
      </w:r>
      <w:proofErr w:type="gramEnd"/>
      <w:r w:rsidRPr="00FD67B4">
        <w:t xml:space="preserve">. </w:t>
      </w:r>
      <w:proofErr w:type="spellStart"/>
      <w:r w:rsidRPr="00FD67B4">
        <w:rPr>
          <w:lang w:val="en-GB"/>
        </w:rPr>
        <w:t>Cette</w:t>
      </w:r>
      <w:proofErr w:type="spellEnd"/>
      <w:r w:rsidRPr="00FD67B4">
        <w:rPr>
          <w:lang w:val="en-GB"/>
        </w:rPr>
        <w:t xml:space="preserve"> </w:t>
      </w:r>
      <w:proofErr w:type="spellStart"/>
      <w:r w:rsidRPr="00FD67B4">
        <w:rPr>
          <w:lang w:val="en-GB"/>
        </w:rPr>
        <w:t>fois</w:t>
      </w:r>
      <w:proofErr w:type="spellEnd"/>
      <w:r w:rsidRPr="00FD67B4">
        <w:rPr>
          <w:lang w:val="en-GB"/>
        </w:rPr>
        <w:t xml:space="preserve"> </w:t>
      </w:r>
      <w:proofErr w:type="spellStart"/>
      <w:r w:rsidRPr="00FD67B4">
        <w:rPr>
          <w:lang w:val="en-GB"/>
        </w:rPr>
        <w:t>en</w:t>
      </w:r>
      <w:proofErr w:type="spellEnd"/>
      <w:r w:rsidRPr="00FD67B4">
        <w:rPr>
          <w:lang w:val="en-GB"/>
        </w:rPr>
        <w:t xml:space="preserve"> </w:t>
      </w:r>
      <w:proofErr w:type="spellStart"/>
      <w:r w:rsidRPr="00FD67B4">
        <w:rPr>
          <w:lang w:val="en-GB"/>
        </w:rPr>
        <w:t>ang</w:t>
      </w:r>
      <w:r>
        <w:rPr>
          <w:lang w:val="en-GB"/>
        </w:rPr>
        <w:t>lais</w:t>
      </w:r>
      <w:proofErr w:type="spellEnd"/>
      <w:r w:rsidR="00847AA5" w:rsidRPr="00A60A04">
        <w:rPr>
          <w:lang w:val="en-GB"/>
        </w:rPr>
        <w:t>…</w:t>
      </w:r>
    </w:p>
    <w:p w:rsidR="00CE1EC2" w:rsidRPr="00FD67B4" w:rsidRDefault="00CE1EC2" w:rsidP="00FD67B4">
      <w:pPr>
        <w:pStyle w:val="Diapo"/>
        <w:rPr>
          <w:b/>
          <w:color w:val="FF0000"/>
          <w:sz w:val="32"/>
          <w:szCs w:val="32"/>
        </w:rPr>
      </w:pPr>
      <w:r w:rsidRPr="00FD67B4">
        <w:rPr>
          <w:i/>
          <w:lang w:val="en-GB"/>
        </w:rPr>
        <w:t>.</w:t>
      </w:r>
      <w:r w:rsidRPr="00FD67B4">
        <w:rPr>
          <w:lang w:val="en-GB"/>
        </w:rPr>
        <w:t xml:space="preserve"> </w:t>
      </w:r>
      <w:r w:rsidR="00FD67B4" w:rsidRPr="00FD67B4">
        <w:t>Et maintenant, la grille « culturelle »</w:t>
      </w:r>
      <w:r w:rsidR="00FD67B4">
        <w:t>.</w:t>
      </w:r>
    </w:p>
    <w:p w:rsidR="00CE1EC2" w:rsidRPr="00FD67B4" w:rsidRDefault="00FD67B4" w:rsidP="009D3A49">
      <w:pPr>
        <w:ind w:left="360"/>
        <w:rPr>
          <w:sz w:val="28"/>
          <w:szCs w:val="28"/>
        </w:rPr>
      </w:pPr>
      <w:r w:rsidRPr="00FD67B4">
        <w:rPr>
          <w:sz w:val="28"/>
          <w:szCs w:val="28"/>
        </w:rPr>
        <w:t>Dans les deux cas, la proximité avec les descripteurs du CARAP est évidente</w:t>
      </w:r>
      <w:r w:rsidR="000E2B38" w:rsidRPr="00FD67B4">
        <w:rPr>
          <w:sz w:val="28"/>
          <w:szCs w:val="28"/>
        </w:rPr>
        <w:t>.</w:t>
      </w:r>
    </w:p>
    <w:p w:rsidR="000E2B38" w:rsidRPr="00FD67B4" w:rsidRDefault="00FD67B4" w:rsidP="009D3A49">
      <w:pPr>
        <w:ind w:left="360"/>
        <w:rPr>
          <w:sz w:val="28"/>
          <w:szCs w:val="28"/>
        </w:rPr>
      </w:pPr>
      <w:r w:rsidRPr="00FD67B4">
        <w:rPr>
          <w:sz w:val="28"/>
          <w:szCs w:val="28"/>
        </w:rPr>
        <w:t>Pour en savoir plus (en anglais) sur le travail effectué à Oulu : https://frepafin.wordpress.com</w:t>
      </w:r>
      <w:r w:rsidR="000E2B38" w:rsidRPr="00FD67B4">
        <w:rPr>
          <w:sz w:val="28"/>
          <w:szCs w:val="28"/>
        </w:rPr>
        <w:t xml:space="preserve"> </w:t>
      </w:r>
    </w:p>
    <w:p w:rsidR="00FD67B4" w:rsidRPr="00FD67B4" w:rsidRDefault="00FD67B4" w:rsidP="00FD67B4">
      <w:pPr>
        <w:pStyle w:val="Diapo"/>
        <w:rPr>
          <w:b/>
          <w:color w:val="FF0000"/>
          <w:sz w:val="32"/>
          <w:szCs w:val="32"/>
        </w:rPr>
      </w:pPr>
    </w:p>
    <w:p w:rsidR="00FD67B4" w:rsidRPr="00FD67B4" w:rsidRDefault="00755989" w:rsidP="00FD67B4">
      <w:pPr>
        <w:pStyle w:val="Diapo"/>
        <w:rPr>
          <w:b/>
          <w:color w:val="FF0000"/>
          <w:sz w:val="32"/>
          <w:szCs w:val="32"/>
        </w:rPr>
      </w:pPr>
      <w:r w:rsidRPr="00FD67B4">
        <w:rPr>
          <w:i/>
        </w:rPr>
        <w:t>.</w:t>
      </w:r>
      <w:r w:rsidRPr="00FD67B4">
        <w:t xml:space="preserve"> </w:t>
      </w:r>
      <w:r w:rsidR="00FD67B4" w:rsidRPr="00FD67B4">
        <w:t xml:space="preserve">Notre troisième exemple est le nouveau « Piano di studio </w:t>
      </w:r>
      <w:proofErr w:type="spellStart"/>
      <w:r w:rsidR="00FD67B4" w:rsidRPr="00FD67B4">
        <w:t>della</w:t>
      </w:r>
      <w:proofErr w:type="spellEnd"/>
      <w:r w:rsidR="00FD67B4" w:rsidRPr="00FD67B4">
        <w:t xml:space="preserve"> </w:t>
      </w:r>
      <w:proofErr w:type="spellStart"/>
      <w:r w:rsidR="00FD67B4" w:rsidRPr="00FD67B4">
        <w:t>scuola</w:t>
      </w:r>
      <w:proofErr w:type="spellEnd"/>
      <w:r w:rsidR="00FD67B4" w:rsidRPr="00FD67B4">
        <w:t xml:space="preserve"> </w:t>
      </w:r>
      <w:proofErr w:type="spellStart"/>
      <w:r w:rsidR="00FD67B4" w:rsidRPr="00FD67B4">
        <w:t>dell’obbligo</w:t>
      </w:r>
      <w:proofErr w:type="spellEnd"/>
      <w:r w:rsidR="00FD67B4" w:rsidRPr="00FD67B4">
        <w:t>» du Tessin (Suisse italophone), qui a été publié en 2016</w:t>
      </w:r>
    </w:p>
    <w:p w:rsidR="00A3504F" w:rsidRPr="00864E9C" w:rsidRDefault="006A3D63" w:rsidP="00864E9C">
      <w:pPr>
        <w:pStyle w:val="Diapo"/>
        <w:rPr>
          <w:b/>
          <w:color w:val="FF0000"/>
          <w:sz w:val="32"/>
          <w:szCs w:val="32"/>
        </w:rPr>
      </w:pPr>
      <w:r w:rsidRPr="00864E9C">
        <w:t>.</w:t>
      </w:r>
      <w:r w:rsidR="00A866B1" w:rsidRPr="00864E9C">
        <w:t xml:space="preserve"> </w:t>
      </w:r>
      <w:r w:rsidR="00864E9C" w:rsidRPr="00864E9C">
        <w:t>Il comprend une « aire des langues » (p. 91) qui réunit l’italien, les « langues secondes » que sont le français et l’anglais, et le latin</w:t>
      </w:r>
      <w:r w:rsidR="00A866B1" w:rsidRPr="00864E9C">
        <w:t xml:space="preserve">. </w:t>
      </w:r>
    </w:p>
    <w:p w:rsidR="002A03ED" w:rsidRPr="00864E9C" w:rsidRDefault="002A03ED" w:rsidP="00864E9C">
      <w:pPr>
        <w:pStyle w:val="Diapo"/>
        <w:rPr>
          <w:b/>
          <w:color w:val="FF0000"/>
          <w:sz w:val="32"/>
          <w:szCs w:val="32"/>
        </w:rPr>
      </w:pPr>
      <w:r w:rsidRPr="00864E9C">
        <w:t xml:space="preserve"> </w:t>
      </w:r>
      <w:r w:rsidR="00864E9C" w:rsidRPr="00864E9C">
        <w:t>Le développement de la compétence plurilingue est représenté par un diagramme (p. 114) dans lequel deux approches plurielles apparaissent explicitement : l’éveil aux langues et la didactique intégrée des langues</w:t>
      </w:r>
      <w:proofErr w:type="gramStart"/>
      <w:r w:rsidR="00A866B1" w:rsidRPr="00864E9C">
        <w:t>.</w:t>
      </w:r>
      <w:r w:rsidRPr="00864E9C">
        <w:t>.</w:t>
      </w:r>
      <w:proofErr w:type="gramEnd"/>
    </w:p>
    <w:p w:rsidR="002A03ED" w:rsidRPr="00864E9C" w:rsidRDefault="002A03ED" w:rsidP="00864E9C">
      <w:pPr>
        <w:pStyle w:val="Diapo"/>
        <w:rPr>
          <w:b/>
          <w:color w:val="FF0000"/>
          <w:sz w:val="32"/>
          <w:szCs w:val="32"/>
        </w:rPr>
      </w:pPr>
      <w:r w:rsidRPr="00A866B1">
        <w:rPr>
          <w:i/>
          <w:lang w:val="en-GB"/>
        </w:rPr>
        <w:t>.</w:t>
      </w:r>
      <w:r w:rsidR="00A866B1" w:rsidRPr="00A866B1">
        <w:rPr>
          <w:lang w:val="en-GB"/>
        </w:rPr>
        <w:t xml:space="preserve"> </w:t>
      </w:r>
      <w:r w:rsidR="00864E9C" w:rsidRPr="00864E9C">
        <w:t>Cinq « domaines de compétence » sont distingués : la compréhension et l’expression, orales et écrites, et une « dimension plurilingue et interculturelle » (p. 115). Les auteurs indiquent page 116: « Pour la description de ce dernier domaine, on se réfère au CARAP »</w:t>
      </w:r>
      <w:proofErr w:type="gramStart"/>
      <w:r w:rsidR="00A866B1" w:rsidRPr="00864E9C">
        <w:t>.</w:t>
      </w:r>
      <w:r w:rsidRPr="00864E9C">
        <w:t>.</w:t>
      </w:r>
      <w:proofErr w:type="gramEnd"/>
    </w:p>
    <w:p w:rsidR="00A866B1" w:rsidRPr="00864E9C" w:rsidRDefault="00864E9C" w:rsidP="009D3A49">
      <w:pPr>
        <w:ind w:left="360"/>
        <w:rPr>
          <w:sz w:val="28"/>
          <w:szCs w:val="28"/>
        </w:rPr>
      </w:pPr>
      <w:r w:rsidRPr="00864E9C">
        <w:rPr>
          <w:sz w:val="28"/>
          <w:szCs w:val="28"/>
        </w:rPr>
        <w:lastRenderedPageBreak/>
        <w:t>Ici, la référence au CARAP dans le curriculum est explicite et directe</w:t>
      </w:r>
      <w:r w:rsidR="00A866B1" w:rsidRPr="00864E9C">
        <w:rPr>
          <w:sz w:val="28"/>
          <w:szCs w:val="28"/>
        </w:rPr>
        <w:t>.</w:t>
      </w:r>
    </w:p>
    <w:p w:rsidR="000919FF" w:rsidRPr="00864E9C" w:rsidRDefault="000919FF" w:rsidP="00864E9C">
      <w:pPr>
        <w:pStyle w:val="Diapo"/>
        <w:rPr>
          <w:b/>
          <w:color w:val="FF0000"/>
          <w:sz w:val="32"/>
          <w:szCs w:val="32"/>
        </w:rPr>
      </w:pPr>
      <w:r w:rsidRPr="00A866B1">
        <w:rPr>
          <w:i/>
          <w:lang w:val="en-GB"/>
        </w:rPr>
        <w:t>.</w:t>
      </w:r>
      <w:r w:rsidR="00A866B1" w:rsidRPr="00A866B1">
        <w:rPr>
          <w:lang w:val="en-GB"/>
        </w:rPr>
        <w:t xml:space="preserve"> </w:t>
      </w:r>
      <w:r w:rsidR="00864E9C" w:rsidRPr="00864E9C">
        <w:t>Et de fait, les savoir-être, savoir-faire et savoirs présentés dans le curriculum sont repris, avec quelques modifications mineures, des listes de descripteurs du CARAP, comme nous l’indiquons dans les diapositives suivantes</w:t>
      </w:r>
      <w:r w:rsidRPr="00864E9C">
        <w:t>.</w:t>
      </w:r>
    </w:p>
    <w:p w:rsidR="00097F7E" w:rsidRPr="0068525D" w:rsidRDefault="00864E9C" w:rsidP="00864E9C">
      <w:pPr>
        <w:pStyle w:val="Diapo"/>
        <w:rPr>
          <w:b/>
          <w:color w:val="FF0000"/>
          <w:sz w:val="32"/>
          <w:szCs w:val="32"/>
        </w:rPr>
      </w:pPr>
      <w:r w:rsidRPr="00864E9C">
        <w:rPr>
          <w:i/>
        </w:rPr>
        <w:t>Savoir-être et savoir-faire</w:t>
      </w:r>
      <w:r w:rsidR="00097F7E">
        <w:t>.</w:t>
      </w:r>
    </w:p>
    <w:p w:rsidR="007043D8" w:rsidRPr="0068525D" w:rsidRDefault="00864E9C" w:rsidP="00864E9C">
      <w:pPr>
        <w:pStyle w:val="Diapo"/>
        <w:rPr>
          <w:b/>
          <w:color w:val="FF0000"/>
          <w:sz w:val="32"/>
          <w:szCs w:val="32"/>
        </w:rPr>
      </w:pPr>
      <w:r w:rsidRPr="00864E9C">
        <w:rPr>
          <w:i/>
        </w:rPr>
        <w:t>Les savoirs</w:t>
      </w:r>
      <w:r w:rsidR="00A866B1" w:rsidRPr="00A866B1">
        <w:t>.</w:t>
      </w:r>
    </w:p>
    <w:p w:rsidR="00B41874" w:rsidRPr="00864E9C" w:rsidRDefault="00864E9C" w:rsidP="00B41874">
      <w:pPr>
        <w:rPr>
          <w:sz w:val="28"/>
          <w:szCs w:val="28"/>
        </w:rPr>
      </w:pPr>
      <w:r w:rsidRPr="00864E9C">
        <w:rPr>
          <w:sz w:val="28"/>
          <w:szCs w:val="28"/>
        </w:rPr>
        <w:t>Pour en savoir plus sur le nouveau curriculum du Tessin et ses liens avec les Approches plurielles et le CARAP, voir</w:t>
      </w:r>
      <w:bookmarkStart w:id="0" w:name="_GoBack"/>
      <w:bookmarkEnd w:id="0"/>
      <w:r w:rsidR="00A60A04" w:rsidRPr="00864E9C">
        <w:rPr>
          <w:sz w:val="28"/>
          <w:szCs w:val="28"/>
        </w:rPr>
        <w:t>:</w:t>
      </w:r>
    </w:p>
    <w:p w:rsidR="009708E6" w:rsidRDefault="00A60A04" w:rsidP="00097F7E">
      <w:pPr>
        <w:ind w:left="360"/>
        <w:rPr>
          <w:sz w:val="28"/>
          <w:szCs w:val="28"/>
          <w:lang w:val="en-GB"/>
        </w:rPr>
      </w:pPr>
      <w:r w:rsidRPr="00A60A04">
        <w:rPr>
          <w:sz w:val="28"/>
          <w:szCs w:val="28"/>
          <w:lang w:val="de-DE"/>
        </w:rPr>
        <w:t xml:space="preserve">De Pietro, J.-F., Gerber, B., </w:t>
      </w:r>
      <w:proofErr w:type="spellStart"/>
      <w:r w:rsidRPr="00A60A04">
        <w:rPr>
          <w:sz w:val="28"/>
          <w:szCs w:val="28"/>
          <w:lang w:val="de-DE"/>
        </w:rPr>
        <w:t>Leonforte</w:t>
      </w:r>
      <w:proofErr w:type="spellEnd"/>
      <w:r w:rsidRPr="00A60A04">
        <w:rPr>
          <w:sz w:val="28"/>
          <w:szCs w:val="28"/>
          <w:lang w:val="de-DE"/>
        </w:rPr>
        <w:t xml:space="preserve">, B., &amp; </w:t>
      </w:r>
      <w:proofErr w:type="spellStart"/>
      <w:r w:rsidRPr="00A60A04">
        <w:rPr>
          <w:sz w:val="28"/>
          <w:szCs w:val="28"/>
          <w:lang w:val="de-DE"/>
        </w:rPr>
        <w:t>Lichtenauer</w:t>
      </w:r>
      <w:proofErr w:type="spellEnd"/>
      <w:r w:rsidRPr="00A60A04">
        <w:rPr>
          <w:sz w:val="28"/>
          <w:szCs w:val="28"/>
          <w:lang w:val="de-DE"/>
        </w:rPr>
        <w:t xml:space="preserve">, K. (2015). </w:t>
      </w:r>
      <w:r w:rsidRPr="00A60A04">
        <w:rPr>
          <w:sz w:val="28"/>
          <w:szCs w:val="28"/>
        </w:rPr>
        <w:t xml:space="preserve">Quelle place pour les approches plurielles dans les nouveaux plans d’études des trois régions linguistiques de la Suisse? </w:t>
      </w:r>
      <w:r w:rsidRPr="00A60A04">
        <w:rPr>
          <w:i/>
          <w:sz w:val="28"/>
          <w:szCs w:val="28"/>
          <w:lang w:val="en-GB"/>
        </w:rPr>
        <w:t>Babylonia 2</w:t>
      </w:r>
      <w:r w:rsidRPr="00A60A04">
        <w:rPr>
          <w:sz w:val="28"/>
          <w:szCs w:val="28"/>
          <w:lang w:val="en-GB"/>
        </w:rPr>
        <w:t>, 59-6</w:t>
      </w:r>
      <w:r>
        <w:rPr>
          <w:sz w:val="28"/>
          <w:szCs w:val="28"/>
          <w:lang w:val="en-GB"/>
        </w:rPr>
        <w:t>5.</w:t>
      </w:r>
    </w:p>
    <w:p w:rsidR="00A60A04" w:rsidRPr="00A60A04" w:rsidRDefault="002C00E4" w:rsidP="00097F7E">
      <w:pPr>
        <w:ind w:left="360"/>
        <w:rPr>
          <w:sz w:val="28"/>
          <w:szCs w:val="28"/>
          <w:lang w:val="en-GB"/>
        </w:rPr>
      </w:pPr>
      <w:hyperlink r:id="rId8" w:history="1">
        <w:r w:rsidR="00A60A04" w:rsidRPr="00CA5253">
          <w:rPr>
            <w:rStyle w:val="Lienhypertexte"/>
            <w:sz w:val="28"/>
            <w:szCs w:val="28"/>
            <w:lang w:val="en-GB"/>
          </w:rPr>
          <w:t>http://www.pianodistudio.ch/</w:t>
        </w:r>
      </w:hyperlink>
      <w:r w:rsidR="00A60A04">
        <w:rPr>
          <w:sz w:val="28"/>
          <w:szCs w:val="28"/>
          <w:lang w:val="en-GB"/>
        </w:rPr>
        <w:t xml:space="preserve"> </w:t>
      </w:r>
    </w:p>
    <w:p w:rsidR="0003602B" w:rsidRPr="00CA7AC8" w:rsidRDefault="0003602B" w:rsidP="0003602B">
      <w:pPr>
        <w:ind w:left="360"/>
        <w:rPr>
          <w:sz w:val="28"/>
          <w:szCs w:val="28"/>
        </w:rPr>
      </w:pPr>
    </w:p>
    <w:sectPr w:rsidR="0003602B" w:rsidRPr="00CA7AC8" w:rsidSect="00A3734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E4" w:rsidRDefault="002C00E4" w:rsidP="007D4B03">
      <w:pPr>
        <w:spacing w:after="0" w:line="240" w:lineRule="auto"/>
      </w:pPr>
      <w:r>
        <w:separator/>
      </w:r>
    </w:p>
  </w:endnote>
  <w:endnote w:type="continuationSeparator" w:id="0">
    <w:p w:rsidR="002C00E4" w:rsidRDefault="002C00E4" w:rsidP="007D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680858"/>
      <w:docPartObj>
        <w:docPartGallery w:val="Page Numbers (Bottom of Page)"/>
        <w:docPartUnique/>
      </w:docPartObj>
    </w:sdtPr>
    <w:sdtEndPr/>
    <w:sdtContent>
      <w:p w:rsidR="007D4B03" w:rsidRDefault="002C00E4">
        <w:pPr>
          <w:pStyle w:val="Pieddepage"/>
        </w:pPr>
        <w:r>
          <w:pict>
            <v:rect id="Rectangle 11" o:spid="_x0000_s2049"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7D4B03" w:rsidRDefault="007D4B03">
                            <w:pPr>
                              <w:jc w:val="center"/>
                              <w:rPr>
                                <w:rFonts w:asciiTheme="majorHAnsi" w:eastAsiaTheme="majorEastAsia" w:hAnsiTheme="majorHAnsi" w:cstheme="majorBidi"/>
                                <w:sz w:val="48"/>
                                <w:szCs w:val="48"/>
                              </w:rPr>
                            </w:pPr>
                            <w:r>
                              <w:rPr>
                                <w:rFonts w:cs="Times New Roman"/>
                              </w:rPr>
                              <w:fldChar w:fldCharType="begin"/>
                            </w:r>
                            <w:r>
                              <w:instrText>PAGE   \* MERGEFORMAT</w:instrText>
                            </w:r>
                            <w:r>
                              <w:rPr>
                                <w:rFonts w:cs="Times New Roman"/>
                              </w:rPr>
                              <w:fldChar w:fldCharType="separate"/>
                            </w:r>
                            <w:r w:rsidR="00864E9C" w:rsidRPr="00864E9C">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E4" w:rsidRDefault="002C00E4" w:rsidP="007D4B03">
      <w:pPr>
        <w:spacing w:after="0" w:line="240" w:lineRule="auto"/>
      </w:pPr>
      <w:r>
        <w:separator/>
      </w:r>
    </w:p>
  </w:footnote>
  <w:footnote w:type="continuationSeparator" w:id="0">
    <w:p w:rsidR="002C00E4" w:rsidRDefault="002C00E4" w:rsidP="007D4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186"/>
    <w:multiLevelType w:val="hybridMultilevel"/>
    <w:tmpl w:val="5F4088FE"/>
    <w:lvl w:ilvl="0" w:tplc="12E41BB2">
      <w:start w:val="1"/>
      <w:numFmt w:val="decimal"/>
      <w:pStyle w:val="Diapo"/>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D13D0D"/>
    <w:multiLevelType w:val="hybridMultilevel"/>
    <w:tmpl w:val="0CD0E3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1A7628C"/>
    <w:multiLevelType w:val="hybridMultilevel"/>
    <w:tmpl w:val="B78E6A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3986472"/>
    <w:multiLevelType w:val="hybridMultilevel"/>
    <w:tmpl w:val="62548B3C"/>
    <w:lvl w:ilvl="0" w:tplc="2F6A583A">
      <w:start w:val="10"/>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C8303F"/>
    <w:multiLevelType w:val="hybridMultilevel"/>
    <w:tmpl w:val="A1BE87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287576E"/>
    <w:multiLevelType w:val="hybridMultilevel"/>
    <w:tmpl w:val="577CBC42"/>
    <w:lvl w:ilvl="0" w:tplc="95F68D7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EC7D33"/>
    <w:multiLevelType w:val="hybridMultilevel"/>
    <w:tmpl w:val="11BE22C6"/>
    <w:lvl w:ilvl="0" w:tplc="8666733A">
      <w:numFmt w:val="bullet"/>
      <w:lvlText w:val="-"/>
      <w:lvlJc w:val="left"/>
      <w:pPr>
        <w:ind w:left="786" w:hanging="360"/>
      </w:pPr>
      <w:rPr>
        <w:rFonts w:ascii="Calibri" w:eastAsiaTheme="minorEastAsia" w:hAnsi="Calibri" w:cstheme="minorBidi" w:hint="default"/>
        <w:b/>
        <w:color w:val="FF0000"/>
        <w:sz w:val="44"/>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59FE1C55"/>
    <w:multiLevelType w:val="hybridMultilevel"/>
    <w:tmpl w:val="41E8E7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B8F27D3"/>
    <w:multiLevelType w:val="hybridMultilevel"/>
    <w:tmpl w:val="0A28E512"/>
    <w:lvl w:ilvl="0" w:tplc="F6246C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7"/>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11008"/>
    <w:rsid w:val="000158DC"/>
    <w:rsid w:val="0003602B"/>
    <w:rsid w:val="0004723C"/>
    <w:rsid w:val="00066F21"/>
    <w:rsid w:val="00076E8F"/>
    <w:rsid w:val="000840F2"/>
    <w:rsid w:val="00086B16"/>
    <w:rsid w:val="000919FF"/>
    <w:rsid w:val="00094550"/>
    <w:rsid w:val="00097F7E"/>
    <w:rsid w:val="000A2092"/>
    <w:rsid w:val="000B4741"/>
    <w:rsid w:val="000C5D54"/>
    <w:rsid w:val="000D6AD1"/>
    <w:rsid w:val="000E2B38"/>
    <w:rsid w:val="000E7F4C"/>
    <w:rsid w:val="000F34D6"/>
    <w:rsid w:val="000F4646"/>
    <w:rsid w:val="00100C26"/>
    <w:rsid w:val="001157A1"/>
    <w:rsid w:val="00143F8D"/>
    <w:rsid w:val="00150B48"/>
    <w:rsid w:val="001B0191"/>
    <w:rsid w:val="001C1C73"/>
    <w:rsid w:val="001E5560"/>
    <w:rsid w:val="001E7D5C"/>
    <w:rsid w:val="00211744"/>
    <w:rsid w:val="00283B32"/>
    <w:rsid w:val="00287A4E"/>
    <w:rsid w:val="002A03ED"/>
    <w:rsid w:val="002A0DE5"/>
    <w:rsid w:val="002C00E4"/>
    <w:rsid w:val="002F17C6"/>
    <w:rsid w:val="002F2BFD"/>
    <w:rsid w:val="002F35E1"/>
    <w:rsid w:val="00302269"/>
    <w:rsid w:val="0035168B"/>
    <w:rsid w:val="00352261"/>
    <w:rsid w:val="00374852"/>
    <w:rsid w:val="00395A68"/>
    <w:rsid w:val="00402D95"/>
    <w:rsid w:val="00423AF7"/>
    <w:rsid w:val="004270A1"/>
    <w:rsid w:val="00436C8D"/>
    <w:rsid w:val="004564A3"/>
    <w:rsid w:val="00471FDF"/>
    <w:rsid w:val="004A437F"/>
    <w:rsid w:val="004A4CDC"/>
    <w:rsid w:val="004C6023"/>
    <w:rsid w:val="004F4B97"/>
    <w:rsid w:val="00513598"/>
    <w:rsid w:val="00513DEA"/>
    <w:rsid w:val="00517F89"/>
    <w:rsid w:val="00525F62"/>
    <w:rsid w:val="00571DD9"/>
    <w:rsid w:val="00580E34"/>
    <w:rsid w:val="00586827"/>
    <w:rsid w:val="00587AF8"/>
    <w:rsid w:val="005B5B86"/>
    <w:rsid w:val="00617157"/>
    <w:rsid w:val="006529F1"/>
    <w:rsid w:val="00663D61"/>
    <w:rsid w:val="00671833"/>
    <w:rsid w:val="0068525D"/>
    <w:rsid w:val="006A3D63"/>
    <w:rsid w:val="006B25AE"/>
    <w:rsid w:val="006C1924"/>
    <w:rsid w:val="006F1F6A"/>
    <w:rsid w:val="006F34B9"/>
    <w:rsid w:val="006F6AC7"/>
    <w:rsid w:val="007043D8"/>
    <w:rsid w:val="007121B6"/>
    <w:rsid w:val="007203C9"/>
    <w:rsid w:val="00744C52"/>
    <w:rsid w:val="00755989"/>
    <w:rsid w:val="007607A2"/>
    <w:rsid w:val="0076459A"/>
    <w:rsid w:val="00776015"/>
    <w:rsid w:val="00791FBD"/>
    <w:rsid w:val="007A65E5"/>
    <w:rsid w:val="007A737D"/>
    <w:rsid w:val="007B11BE"/>
    <w:rsid w:val="007B3E92"/>
    <w:rsid w:val="007D4B03"/>
    <w:rsid w:val="007F41C2"/>
    <w:rsid w:val="00800809"/>
    <w:rsid w:val="00807632"/>
    <w:rsid w:val="00807B73"/>
    <w:rsid w:val="008139B4"/>
    <w:rsid w:val="00847AA5"/>
    <w:rsid w:val="00851DBB"/>
    <w:rsid w:val="00856551"/>
    <w:rsid w:val="008625C7"/>
    <w:rsid w:val="00864E9C"/>
    <w:rsid w:val="00874850"/>
    <w:rsid w:val="00887EFB"/>
    <w:rsid w:val="008B5991"/>
    <w:rsid w:val="008B6A2F"/>
    <w:rsid w:val="008E6C38"/>
    <w:rsid w:val="009025FC"/>
    <w:rsid w:val="00920487"/>
    <w:rsid w:val="009363DF"/>
    <w:rsid w:val="009708E6"/>
    <w:rsid w:val="009B4C35"/>
    <w:rsid w:val="009D3A49"/>
    <w:rsid w:val="009D4CCE"/>
    <w:rsid w:val="009D5C52"/>
    <w:rsid w:val="009D5D31"/>
    <w:rsid w:val="00A02D0A"/>
    <w:rsid w:val="00A1017B"/>
    <w:rsid w:val="00A11C4B"/>
    <w:rsid w:val="00A2374A"/>
    <w:rsid w:val="00A3504F"/>
    <w:rsid w:val="00A37340"/>
    <w:rsid w:val="00A51F0C"/>
    <w:rsid w:val="00A60A04"/>
    <w:rsid w:val="00A866B1"/>
    <w:rsid w:val="00A91A27"/>
    <w:rsid w:val="00A92777"/>
    <w:rsid w:val="00AA51D9"/>
    <w:rsid w:val="00AC07EE"/>
    <w:rsid w:val="00AE370F"/>
    <w:rsid w:val="00AF6292"/>
    <w:rsid w:val="00B0160E"/>
    <w:rsid w:val="00B15CA3"/>
    <w:rsid w:val="00B17709"/>
    <w:rsid w:val="00B24191"/>
    <w:rsid w:val="00B350C8"/>
    <w:rsid w:val="00B41874"/>
    <w:rsid w:val="00B41981"/>
    <w:rsid w:val="00B4445D"/>
    <w:rsid w:val="00B459EF"/>
    <w:rsid w:val="00B97AC6"/>
    <w:rsid w:val="00C2435F"/>
    <w:rsid w:val="00C37670"/>
    <w:rsid w:val="00C406CA"/>
    <w:rsid w:val="00C82D5B"/>
    <w:rsid w:val="00C93FA6"/>
    <w:rsid w:val="00CA59CF"/>
    <w:rsid w:val="00CA7AC8"/>
    <w:rsid w:val="00CB2BFA"/>
    <w:rsid w:val="00CB3429"/>
    <w:rsid w:val="00CE1EC2"/>
    <w:rsid w:val="00D11008"/>
    <w:rsid w:val="00D21E86"/>
    <w:rsid w:val="00D53EEC"/>
    <w:rsid w:val="00D81EF4"/>
    <w:rsid w:val="00D8584F"/>
    <w:rsid w:val="00DA2D87"/>
    <w:rsid w:val="00DB50FC"/>
    <w:rsid w:val="00DD67E8"/>
    <w:rsid w:val="00DF5AC8"/>
    <w:rsid w:val="00E334F8"/>
    <w:rsid w:val="00E365DE"/>
    <w:rsid w:val="00E67E15"/>
    <w:rsid w:val="00E75D72"/>
    <w:rsid w:val="00EA4BC3"/>
    <w:rsid w:val="00EA4F97"/>
    <w:rsid w:val="00EB2714"/>
    <w:rsid w:val="00EB794E"/>
    <w:rsid w:val="00EC6844"/>
    <w:rsid w:val="00F165F7"/>
    <w:rsid w:val="00F31608"/>
    <w:rsid w:val="00F56003"/>
    <w:rsid w:val="00F90D7A"/>
    <w:rsid w:val="00FA542B"/>
    <w:rsid w:val="00FB47BB"/>
    <w:rsid w:val="00FD67B4"/>
    <w:rsid w:val="00FE543B"/>
    <w:rsid w:val="00FF52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193624-F64F-4F50-9E35-7239342D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68B"/>
    <w:pPr>
      <w:spacing w:after="200" w:line="276" w:lineRule="auto"/>
    </w:pPr>
    <w:rPr>
      <w:rFonts w:eastAsiaTheme="minorEastAsia"/>
      <w:lang w:eastAsia="ja-JP"/>
    </w:rPr>
  </w:style>
  <w:style w:type="paragraph" w:styleId="Titre1">
    <w:name w:val="heading 1"/>
    <w:basedOn w:val="Normal"/>
    <w:next w:val="Normal"/>
    <w:link w:val="Titre1Car"/>
    <w:uiPriority w:val="9"/>
    <w:qFormat/>
    <w:rsid w:val="00EA4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next w:val="Normal"/>
    <w:link w:val="ParagraphedelisteCar"/>
    <w:uiPriority w:val="34"/>
    <w:qFormat/>
    <w:rsid w:val="00EA4F97"/>
    <w:pPr>
      <w:ind w:left="720"/>
      <w:contextualSpacing/>
    </w:pPr>
  </w:style>
  <w:style w:type="character" w:customStyle="1" w:styleId="Titre1Car">
    <w:name w:val="Titre 1 Car"/>
    <w:basedOn w:val="Policepardfaut"/>
    <w:link w:val="Titre1"/>
    <w:uiPriority w:val="9"/>
    <w:rsid w:val="00EA4F97"/>
    <w:rPr>
      <w:rFonts w:asciiTheme="majorHAnsi" w:eastAsiaTheme="majorEastAsia" w:hAnsiTheme="majorHAnsi" w:cstheme="majorBidi"/>
      <w:color w:val="2E74B5" w:themeColor="accent1" w:themeShade="BF"/>
      <w:sz w:val="32"/>
      <w:szCs w:val="32"/>
      <w:lang w:eastAsia="ja-JP"/>
    </w:rPr>
  </w:style>
  <w:style w:type="paragraph" w:styleId="En-tte">
    <w:name w:val="header"/>
    <w:basedOn w:val="Normal"/>
    <w:link w:val="En-tteCar"/>
    <w:uiPriority w:val="99"/>
    <w:unhideWhenUsed/>
    <w:rsid w:val="007D4B03"/>
    <w:pPr>
      <w:tabs>
        <w:tab w:val="center" w:pos="4536"/>
        <w:tab w:val="right" w:pos="9072"/>
      </w:tabs>
      <w:spacing w:after="0" w:line="240" w:lineRule="auto"/>
    </w:pPr>
  </w:style>
  <w:style w:type="character" w:customStyle="1" w:styleId="En-tteCar">
    <w:name w:val="En-tête Car"/>
    <w:basedOn w:val="Policepardfaut"/>
    <w:link w:val="En-tte"/>
    <w:uiPriority w:val="99"/>
    <w:rsid w:val="007D4B03"/>
    <w:rPr>
      <w:rFonts w:eastAsiaTheme="minorEastAsia"/>
      <w:lang w:eastAsia="ja-JP"/>
    </w:rPr>
  </w:style>
  <w:style w:type="paragraph" w:styleId="Pieddepage">
    <w:name w:val="footer"/>
    <w:basedOn w:val="Normal"/>
    <w:link w:val="PieddepageCar"/>
    <w:uiPriority w:val="99"/>
    <w:unhideWhenUsed/>
    <w:rsid w:val="007D4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B03"/>
    <w:rPr>
      <w:rFonts w:eastAsiaTheme="minorEastAsia"/>
      <w:lang w:eastAsia="ja-JP"/>
    </w:rPr>
  </w:style>
  <w:style w:type="paragraph" w:customStyle="1" w:styleId="Diapo">
    <w:name w:val="Diapo"/>
    <w:basedOn w:val="Paragraphedeliste"/>
    <w:link w:val="DiapoCar"/>
    <w:qFormat/>
    <w:rsid w:val="004A4CDC"/>
    <w:pPr>
      <w:numPr>
        <w:numId w:val="1"/>
      </w:numPr>
      <w:spacing w:before="120" w:after="320"/>
      <w:ind w:left="283" w:hanging="567"/>
    </w:pPr>
    <w:rPr>
      <w:sz w:val="28"/>
      <w:szCs w:val="28"/>
    </w:rPr>
  </w:style>
  <w:style w:type="character" w:customStyle="1" w:styleId="ParagraphedelisteCar">
    <w:name w:val="Paragraphe de liste Car"/>
    <w:basedOn w:val="Policepardfaut"/>
    <w:link w:val="Paragraphedeliste"/>
    <w:uiPriority w:val="34"/>
    <w:rsid w:val="004A4CDC"/>
    <w:rPr>
      <w:rFonts w:eastAsiaTheme="minorEastAsia"/>
      <w:lang w:eastAsia="ja-JP"/>
    </w:rPr>
  </w:style>
  <w:style w:type="character" w:customStyle="1" w:styleId="DiapoCar">
    <w:name w:val="Diapo Car"/>
    <w:basedOn w:val="ParagraphedelisteCar"/>
    <w:link w:val="Diapo"/>
    <w:rsid w:val="004A4CDC"/>
    <w:rPr>
      <w:rFonts w:eastAsiaTheme="minorEastAsia"/>
      <w:sz w:val="28"/>
      <w:szCs w:val="28"/>
      <w:lang w:eastAsia="ja-JP"/>
    </w:rPr>
  </w:style>
  <w:style w:type="character" w:styleId="Lienhypertexte">
    <w:name w:val="Hyperlink"/>
    <w:basedOn w:val="Policepardfaut"/>
    <w:uiPriority w:val="99"/>
    <w:unhideWhenUsed/>
    <w:rsid w:val="00A60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9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odistudio.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A7F2-3344-4A1B-91EA-E140EA85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813</Words>
  <Characters>4476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Candelier</dc:creator>
  <cp:keywords/>
  <dc:description/>
  <cp:lastModifiedBy>Michel Candelier</cp:lastModifiedBy>
  <cp:revision>9</cp:revision>
  <dcterms:created xsi:type="dcterms:W3CDTF">2015-12-16T17:57:00Z</dcterms:created>
  <dcterms:modified xsi:type="dcterms:W3CDTF">2016-12-26T14:34:00Z</dcterms:modified>
</cp:coreProperties>
</file>