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49" w:rsidRDefault="00B97AC6" w:rsidP="00B97AC6">
      <w:pPr>
        <w:jc w:val="center"/>
        <w:rPr>
          <w:lang w:val="en-GB"/>
        </w:rPr>
      </w:pPr>
      <w:r w:rsidRPr="00B97AC6">
        <w:rPr>
          <w:rFonts w:asciiTheme="majorHAnsi" w:eastAsiaTheme="majorEastAsia" w:hAnsiTheme="majorHAnsi" w:cstheme="majorBidi"/>
          <w:b/>
          <w:color w:val="2E74B5" w:themeColor="accent1" w:themeShade="BF"/>
          <w:sz w:val="32"/>
          <w:szCs w:val="32"/>
          <w:lang w:val="en-GB"/>
        </w:rPr>
        <w:t>The use of the FREPA for curricula</w:t>
      </w:r>
      <w:proofErr w:type="gramStart"/>
      <w:r w:rsidRPr="00B97AC6">
        <w:rPr>
          <w:rFonts w:asciiTheme="majorHAnsi" w:eastAsiaTheme="majorEastAsia" w:hAnsiTheme="majorHAnsi" w:cstheme="majorBidi"/>
          <w:b/>
          <w:color w:val="2E74B5" w:themeColor="accent1" w:themeShade="BF"/>
          <w:sz w:val="32"/>
          <w:szCs w:val="32"/>
          <w:lang w:val="en-GB"/>
        </w:rPr>
        <w:t>:</w:t>
      </w:r>
      <w:proofErr w:type="gramEnd"/>
      <w:r w:rsidRPr="00B97AC6">
        <w:rPr>
          <w:rFonts w:asciiTheme="majorHAnsi" w:eastAsiaTheme="majorEastAsia" w:hAnsiTheme="majorHAnsi" w:cstheme="majorBidi"/>
          <w:b/>
          <w:color w:val="2E74B5" w:themeColor="accent1" w:themeShade="BF"/>
          <w:sz w:val="32"/>
          <w:szCs w:val="32"/>
          <w:lang w:val="en-GB"/>
        </w:rPr>
        <w:br/>
        <w:t>Three cases</w:t>
      </w:r>
    </w:p>
    <w:p w:rsidR="00E365DE" w:rsidRPr="00E365DE" w:rsidRDefault="00E365DE" w:rsidP="00E365DE">
      <w:pPr>
        <w:rPr>
          <w:sz w:val="32"/>
          <w:szCs w:val="32"/>
        </w:rPr>
      </w:pPr>
      <w:r w:rsidRPr="008139B4">
        <w:rPr>
          <w:b/>
          <w:color w:val="FF0000"/>
          <w:sz w:val="44"/>
          <w:szCs w:val="44"/>
        </w:rPr>
        <w:t xml:space="preserve">≥ </w:t>
      </w:r>
      <w:r w:rsidRPr="00E365DE">
        <w:rPr>
          <w:b/>
          <w:color w:val="FF0000"/>
          <w:sz w:val="32"/>
          <w:szCs w:val="32"/>
        </w:rPr>
        <w:t xml:space="preserve">= animation </w:t>
      </w:r>
      <w:proofErr w:type="spellStart"/>
      <w:r w:rsidR="00B97AC6">
        <w:rPr>
          <w:b/>
          <w:color w:val="FF0000"/>
          <w:sz w:val="32"/>
          <w:szCs w:val="32"/>
        </w:rPr>
        <w:t>within</w:t>
      </w:r>
      <w:proofErr w:type="spellEnd"/>
      <w:r w:rsidR="00B97AC6">
        <w:rPr>
          <w:b/>
          <w:color w:val="FF0000"/>
          <w:sz w:val="32"/>
          <w:szCs w:val="32"/>
        </w:rPr>
        <w:t xml:space="preserve"> one slide</w:t>
      </w:r>
      <w:r w:rsidRPr="00E365DE">
        <w:rPr>
          <w:b/>
          <w:color w:val="FF0000"/>
          <w:sz w:val="32"/>
          <w:szCs w:val="32"/>
        </w:rPr>
        <w:t>.</w:t>
      </w:r>
    </w:p>
    <w:p w:rsidR="00E365DE" w:rsidRPr="00E365DE" w:rsidRDefault="00E365DE"/>
    <w:p w:rsidR="009D3A49" w:rsidRPr="00C406CA" w:rsidRDefault="009D3A49" w:rsidP="009D3A49">
      <w:pPr>
        <w:pStyle w:val="Paragraphedeliste"/>
        <w:numPr>
          <w:ilvl w:val="0"/>
          <w:numId w:val="1"/>
        </w:numPr>
        <w:ind w:left="284" w:hanging="568"/>
        <w:rPr>
          <w:b/>
          <w:color w:val="FF0000"/>
          <w:sz w:val="32"/>
          <w:szCs w:val="32"/>
          <w:lang w:val="de-DE"/>
        </w:rPr>
      </w:pPr>
      <w:r w:rsidRPr="00E365DE">
        <w:rPr>
          <w:sz w:val="28"/>
          <w:szCs w:val="28"/>
        </w:rPr>
        <w:t xml:space="preserve"> </w:t>
      </w:r>
      <w:r w:rsidR="00B97AC6">
        <w:rPr>
          <w:sz w:val="28"/>
          <w:szCs w:val="28"/>
        </w:rPr>
        <w:t>(</w:t>
      </w:r>
      <w:r w:rsidR="00B97AC6">
        <w:rPr>
          <w:sz w:val="28"/>
          <w:szCs w:val="28"/>
          <w:lang w:val="de-DE"/>
        </w:rPr>
        <w:t>Titl</w:t>
      </w:r>
      <w:r>
        <w:rPr>
          <w:sz w:val="28"/>
          <w:szCs w:val="28"/>
          <w:lang w:val="de-DE"/>
        </w:rPr>
        <w:t>e</w:t>
      </w:r>
      <w:r w:rsidR="00B97AC6">
        <w:rPr>
          <w:sz w:val="28"/>
          <w:szCs w:val="28"/>
          <w:lang w:val="de-DE"/>
        </w:rPr>
        <w:t>)</w:t>
      </w:r>
      <w:r>
        <w:rPr>
          <w:sz w:val="28"/>
          <w:szCs w:val="28"/>
          <w:lang w:val="de-DE"/>
        </w:rPr>
        <w:t xml:space="preserve"> </w:t>
      </w:r>
    </w:p>
    <w:p w:rsidR="00FE543B" w:rsidRDefault="00FE543B" w:rsidP="00FE543B">
      <w:pPr>
        <w:ind w:left="360"/>
        <w:rPr>
          <w:sz w:val="28"/>
          <w:szCs w:val="28"/>
          <w:lang w:val="de-DE"/>
        </w:rPr>
      </w:pPr>
      <w:r w:rsidRPr="00D81EF4">
        <w:rPr>
          <w:b/>
          <w:color w:val="FF0000"/>
          <w:sz w:val="44"/>
          <w:szCs w:val="44"/>
          <w:lang w:val="de-DE"/>
        </w:rPr>
        <w:t xml:space="preserve">≥ </w:t>
      </w:r>
    </w:p>
    <w:p w:rsidR="009D3A49" w:rsidRPr="00B97AC6" w:rsidRDefault="00B97AC6" w:rsidP="00B97AC6">
      <w:pPr>
        <w:pStyle w:val="Diapo"/>
        <w:rPr>
          <w:b/>
          <w:color w:val="FF0000"/>
          <w:sz w:val="32"/>
          <w:szCs w:val="32"/>
          <w:lang w:val="en-GB"/>
        </w:rPr>
      </w:pPr>
      <w:r w:rsidRPr="00B97AC6">
        <w:rPr>
          <w:lang w:val="en-GB"/>
        </w:rPr>
        <w:t xml:space="preserve">The aim of this document is to give some information about three cases in which the FREPA has undoubtedly played a role in the conception of a new curriculum for school education. They will be presented in chronological order, so </w:t>
      </w:r>
      <w:proofErr w:type="gramStart"/>
      <w:r w:rsidRPr="00B97AC6">
        <w:rPr>
          <w:lang w:val="en-GB"/>
        </w:rPr>
        <w:t>we’ll  start</w:t>
      </w:r>
      <w:proofErr w:type="gramEnd"/>
      <w:r w:rsidRPr="00B97AC6">
        <w:rPr>
          <w:lang w:val="en-GB"/>
        </w:rPr>
        <w:t xml:space="preserve"> with the curriculum of the Fren</w:t>
      </w:r>
      <w:r>
        <w:rPr>
          <w:lang w:val="en-GB"/>
        </w:rPr>
        <w:t>ch-speaking part of Switzerland</w:t>
      </w:r>
      <w:r w:rsidR="009D3A49" w:rsidRPr="00B97AC6">
        <w:rPr>
          <w:lang w:val="en-GB"/>
        </w:rPr>
        <w:t xml:space="preserve">. </w:t>
      </w:r>
      <w:r w:rsidR="00C93FA6">
        <w:rPr>
          <w:lang w:val="en-GB"/>
        </w:rPr>
        <w:br/>
      </w:r>
    </w:p>
    <w:p w:rsidR="00B97AC6" w:rsidRPr="00B97AC6" w:rsidRDefault="00B97AC6" w:rsidP="00B97AC6">
      <w:pPr>
        <w:pStyle w:val="Diapo"/>
        <w:rPr>
          <w:b/>
          <w:color w:val="FF0000"/>
          <w:sz w:val="32"/>
          <w:szCs w:val="32"/>
          <w:lang w:val="en-GB"/>
        </w:rPr>
      </w:pPr>
      <w:r w:rsidRPr="00B97AC6">
        <w:rPr>
          <w:lang w:val="en-GB"/>
        </w:rPr>
        <w:t xml:space="preserve">This is how the </w:t>
      </w:r>
      <w:proofErr w:type="spellStart"/>
      <w:r w:rsidRPr="00B97AC6">
        <w:rPr>
          <w:lang w:val="en-GB"/>
        </w:rPr>
        <w:t>the</w:t>
      </w:r>
      <w:proofErr w:type="spellEnd"/>
      <w:r w:rsidRPr="00B97AC6">
        <w:rPr>
          <w:lang w:val="en-GB"/>
        </w:rPr>
        <w:t xml:space="preserve"> Domain « Languages » is presented on the PER websit</w:t>
      </w:r>
      <w:r w:rsidRPr="00B97AC6">
        <w:rPr>
          <w:lang w:val="en-GB"/>
        </w:rPr>
        <w:t xml:space="preserve">e. </w:t>
      </w:r>
      <w:r w:rsidRPr="00B97AC6">
        <w:rPr>
          <w:lang w:val="en-GB"/>
        </w:rPr>
        <w:t>Such aims are clearly in line with the principles underlying pluralistic approaches</w:t>
      </w:r>
      <w:r w:rsidRPr="00B97AC6">
        <w:rPr>
          <w:lang w:val="en-GB"/>
        </w:rPr>
        <w:t>.</w:t>
      </w:r>
      <w:r w:rsidR="00C93FA6">
        <w:rPr>
          <w:lang w:val="en-GB"/>
        </w:rPr>
        <w:br/>
      </w:r>
    </w:p>
    <w:p w:rsidR="00AC07EE" w:rsidRPr="00C93FA6" w:rsidRDefault="00B97AC6" w:rsidP="00A60A04">
      <w:pPr>
        <w:pStyle w:val="Diapo"/>
        <w:spacing w:after="0"/>
        <w:rPr>
          <w:b/>
          <w:color w:val="FF0000"/>
          <w:sz w:val="32"/>
          <w:szCs w:val="32"/>
          <w:lang w:val="en-GB"/>
        </w:rPr>
      </w:pPr>
      <w:r w:rsidRPr="00B97AC6">
        <w:rPr>
          <w:lang w:val="en-GB"/>
        </w:rPr>
        <w:t xml:space="preserve">The clearest link to pluralistic approaches is situated in one dimension (one « axe </w:t>
      </w:r>
      <w:proofErr w:type="spellStart"/>
      <w:r w:rsidRPr="00B97AC6">
        <w:rPr>
          <w:lang w:val="en-GB"/>
        </w:rPr>
        <w:t>thématique</w:t>
      </w:r>
      <w:proofErr w:type="spellEnd"/>
      <w:r w:rsidRPr="00B97AC6">
        <w:rPr>
          <w:lang w:val="en-GB"/>
        </w:rPr>
        <w:t> ») of the curriculum, which appears for all  the  languages studied, includ</w:t>
      </w:r>
      <w:bookmarkStart w:id="0" w:name="_GoBack"/>
      <w:bookmarkEnd w:id="0"/>
      <w:r w:rsidRPr="00B97AC6">
        <w:rPr>
          <w:lang w:val="en-GB"/>
        </w:rPr>
        <w:t>ing the language of schooling:</w:t>
      </w:r>
      <w:r w:rsidRPr="00B97AC6">
        <w:rPr>
          <w:lang w:val="en-GB"/>
        </w:rPr>
        <w:t xml:space="preserve">.   </w:t>
      </w:r>
    </w:p>
    <w:p w:rsidR="00C93FA6" w:rsidRPr="00C93FA6" w:rsidRDefault="00C93FA6" w:rsidP="00C93FA6">
      <w:pPr>
        <w:rPr>
          <w:sz w:val="28"/>
          <w:szCs w:val="28"/>
          <w:lang w:val="en-GB"/>
        </w:rPr>
      </w:pPr>
      <w:r w:rsidRPr="00C93FA6">
        <w:rPr>
          <w:b/>
          <w:color w:val="FF0000"/>
          <w:sz w:val="44"/>
          <w:szCs w:val="44"/>
          <w:lang w:val="en-GB"/>
        </w:rPr>
        <w:t xml:space="preserve">≥ </w:t>
      </w:r>
      <w:proofErr w:type="gramStart"/>
      <w:r w:rsidRPr="00C93FA6">
        <w:rPr>
          <w:sz w:val="28"/>
          <w:szCs w:val="28"/>
          <w:lang w:val="en-GB"/>
        </w:rPr>
        <w:t>This</w:t>
      </w:r>
      <w:proofErr w:type="gramEnd"/>
      <w:r w:rsidRPr="00C93FA6">
        <w:rPr>
          <w:sz w:val="28"/>
          <w:szCs w:val="28"/>
          <w:lang w:val="en-GB"/>
        </w:rPr>
        <w:t xml:space="preserve"> dimension is called:</w:t>
      </w:r>
      <w:r>
        <w:rPr>
          <w:sz w:val="28"/>
          <w:szCs w:val="28"/>
          <w:lang w:val="en-GB"/>
        </w:rPr>
        <w:t xml:space="preserve"> « </w:t>
      </w:r>
      <w:proofErr w:type="spellStart"/>
      <w:r>
        <w:rPr>
          <w:sz w:val="28"/>
          <w:szCs w:val="28"/>
          <w:lang w:val="en-GB"/>
        </w:rPr>
        <w:t>Interlinguistic</w:t>
      </w:r>
      <w:proofErr w:type="spellEnd"/>
      <w:r>
        <w:rPr>
          <w:sz w:val="28"/>
          <w:szCs w:val="28"/>
          <w:lang w:val="en-GB"/>
        </w:rPr>
        <w:t xml:space="preserve"> approaches »</w:t>
      </w:r>
      <w:r w:rsidRPr="00C93FA6">
        <w:rPr>
          <w:sz w:val="28"/>
          <w:szCs w:val="28"/>
          <w:lang w:val="en-GB"/>
        </w:rPr>
        <w:t>.</w:t>
      </w:r>
    </w:p>
    <w:p w:rsidR="004A4CDC" w:rsidRPr="00C93FA6" w:rsidRDefault="00C93FA6" w:rsidP="00724C38">
      <w:pPr>
        <w:pStyle w:val="Diapo"/>
        <w:rPr>
          <w:b/>
          <w:color w:val="FF0000"/>
          <w:sz w:val="32"/>
          <w:szCs w:val="32"/>
          <w:lang w:val="en-GB"/>
        </w:rPr>
      </w:pPr>
      <w:r w:rsidRPr="00C93FA6">
        <w:rPr>
          <w:lang w:val="en-GB"/>
        </w:rPr>
        <w:t xml:space="preserve">And it is defined as follows. </w:t>
      </w:r>
      <w:r w:rsidRPr="00C93FA6">
        <w:rPr>
          <w:lang w:val="en-GB"/>
        </w:rPr>
        <w:br/>
      </w:r>
      <w:r w:rsidRPr="00C93FA6">
        <w:rPr>
          <w:lang w:val="en-GB"/>
        </w:rPr>
        <w:t>…</w:t>
      </w:r>
      <w:r w:rsidRPr="00C93FA6">
        <w:rPr>
          <w:lang w:val="en-GB"/>
        </w:rPr>
        <w:br/>
      </w:r>
      <w:r w:rsidRPr="00C93FA6">
        <w:rPr>
          <w:lang w:val="en-GB"/>
        </w:rPr>
        <w:t>Again, the connection with pluralistic approaches is very strong</w:t>
      </w:r>
      <w:r>
        <w:rPr>
          <w:lang w:val="en-GB"/>
        </w:rPr>
        <w:t>.</w:t>
      </w:r>
      <w:r>
        <w:rPr>
          <w:lang w:val="en-GB"/>
        </w:rPr>
        <w:br/>
      </w:r>
    </w:p>
    <w:p w:rsidR="00EB2714" w:rsidRPr="00C93FA6" w:rsidRDefault="00C93FA6" w:rsidP="00C93FA6">
      <w:pPr>
        <w:pStyle w:val="Diapo"/>
        <w:spacing w:after="0"/>
        <w:rPr>
          <w:b/>
          <w:color w:val="FF0000"/>
          <w:sz w:val="32"/>
          <w:szCs w:val="32"/>
          <w:lang w:val="en-GB"/>
        </w:rPr>
      </w:pPr>
      <w:r w:rsidRPr="00C93FA6">
        <w:rPr>
          <w:lang w:val="en-GB"/>
        </w:rPr>
        <w:t>Here are the descriptors of the domain « </w:t>
      </w:r>
      <w:proofErr w:type="spellStart"/>
      <w:r w:rsidRPr="00C93FA6">
        <w:rPr>
          <w:lang w:val="en-GB"/>
        </w:rPr>
        <w:t>Interlinguistic</w:t>
      </w:r>
      <w:proofErr w:type="spellEnd"/>
      <w:r w:rsidRPr="00C93FA6">
        <w:rPr>
          <w:lang w:val="en-GB"/>
        </w:rPr>
        <w:t xml:space="preserve"> approaches » for the « cycle 1 » (last year of pre-primary, </w:t>
      </w:r>
      <w:r>
        <w:rPr>
          <w:lang w:val="en-GB"/>
        </w:rPr>
        <w:t>grade 1 and grade 2 of primary</w:t>
      </w:r>
      <w:r w:rsidR="004F4B97" w:rsidRPr="00C93FA6">
        <w:rPr>
          <w:lang w:val="en-GB"/>
        </w:rPr>
        <w:t>.</w:t>
      </w:r>
      <w:r w:rsidR="00EB2714" w:rsidRPr="00C93FA6">
        <w:rPr>
          <w:lang w:val="en-GB"/>
        </w:rPr>
        <w:t xml:space="preserve"> </w:t>
      </w:r>
    </w:p>
    <w:p w:rsidR="00C93FA6" w:rsidRPr="00C93FA6" w:rsidRDefault="00C93FA6" w:rsidP="00C93FA6">
      <w:pPr>
        <w:spacing w:after="0"/>
        <w:ind w:left="360"/>
        <w:rPr>
          <w:sz w:val="28"/>
          <w:szCs w:val="28"/>
          <w:lang w:val="en-GB"/>
        </w:rPr>
      </w:pPr>
      <w:r w:rsidRPr="00C93FA6">
        <w:rPr>
          <w:sz w:val="28"/>
          <w:szCs w:val="28"/>
          <w:lang w:val="en-GB"/>
        </w:rPr>
        <w:t xml:space="preserve">As Jean-François de Pietro, Brigitte Gerber, Beatrice </w:t>
      </w:r>
      <w:proofErr w:type="spellStart"/>
      <w:r w:rsidRPr="00C93FA6">
        <w:rPr>
          <w:sz w:val="28"/>
          <w:szCs w:val="28"/>
          <w:lang w:val="en-GB"/>
        </w:rPr>
        <w:t>Leonforte</w:t>
      </w:r>
      <w:proofErr w:type="spellEnd"/>
      <w:r w:rsidRPr="00C93FA6">
        <w:rPr>
          <w:sz w:val="28"/>
          <w:szCs w:val="28"/>
          <w:lang w:val="en-GB"/>
        </w:rPr>
        <w:t xml:space="preserve"> &amp; </w:t>
      </w:r>
      <w:proofErr w:type="spellStart"/>
      <w:r w:rsidRPr="00C93FA6">
        <w:rPr>
          <w:sz w:val="28"/>
          <w:szCs w:val="28"/>
          <w:lang w:val="en-GB"/>
        </w:rPr>
        <w:t>Karine</w:t>
      </w:r>
      <w:proofErr w:type="spellEnd"/>
      <w:r w:rsidRPr="00C93FA6">
        <w:rPr>
          <w:sz w:val="28"/>
          <w:szCs w:val="28"/>
          <w:lang w:val="en-GB"/>
        </w:rPr>
        <w:t xml:space="preserve"> </w:t>
      </w:r>
      <w:proofErr w:type="spellStart"/>
      <w:r w:rsidRPr="00C93FA6">
        <w:rPr>
          <w:sz w:val="28"/>
          <w:szCs w:val="28"/>
          <w:lang w:val="en-GB"/>
        </w:rPr>
        <w:t>Lichtenauer</w:t>
      </w:r>
      <w:proofErr w:type="spellEnd"/>
      <w:r w:rsidRPr="00C93FA6">
        <w:rPr>
          <w:sz w:val="28"/>
          <w:szCs w:val="28"/>
          <w:lang w:val="en-GB"/>
        </w:rPr>
        <w:t xml:space="preserve"> argue in an article devoted to the Swiss curricula,* "Although they remain at a quite general level, these descriptors can obviously be </w:t>
      </w:r>
      <w:r w:rsidRPr="00C93FA6">
        <w:rPr>
          <w:sz w:val="28"/>
          <w:szCs w:val="28"/>
          <w:lang w:val="en-GB"/>
        </w:rPr>
        <w:lastRenderedPageBreak/>
        <w:t>easily connected with the FREPA descriptors. These descriptors could even help precise them, and give an access to the FREPA online materials. »</w:t>
      </w:r>
    </w:p>
    <w:p w:rsidR="00C93FA6" w:rsidRPr="00C93FA6" w:rsidRDefault="00C93FA6" w:rsidP="00C93FA6">
      <w:pPr>
        <w:spacing w:after="0"/>
        <w:ind w:left="360"/>
        <w:rPr>
          <w:sz w:val="28"/>
          <w:szCs w:val="28"/>
          <w:lang w:val="en-GB"/>
        </w:rPr>
      </w:pPr>
      <w:r w:rsidRPr="00C93FA6">
        <w:rPr>
          <w:sz w:val="28"/>
          <w:szCs w:val="28"/>
          <w:lang w:val="en-GB"/>
        </w:rPr>
        <w:t xml:space="preserve">However, the FREPA is not </w:t>
      </w:r>
      <w:proofErr w:type="spellStart"/>
      <w:r w:rsidRPr="00C93FA6">
        <w:rPr>
          <w:sz w:val="28"/>
          <w:szCs w:val="28"/>
          <w:lang w:val="en-GB"/>
        </w:rPr>
        <w:t>explicitely</w:t>
      </w:r>
      <w:proofErr w:type="spellEnd"/>
      <w:r w:rsidRPr="00C93FA6">
        <w:rPr>
          <w:sz w:val="28"/>
          <w:szCs w:val="28"/>
          <w:lang w:val="en-GB"/>
        </w:rPr>
        <w:t xml:space="preserve"> referred to in the PER, although one can take for granted that it has been part of the ground knowledge of many PER authors.  </w:t>
      </w:r>
    </w:p>
    <w:p w:rsidR="00C93FA6" w:rsidRPr="00C93FA6" w:rsidRDefault="00C93FA6" w:rsidP="000F4646">
      <w:pPr>
        <w:ind w:left="360"/>
        <w:rPr>
          <w:sz w:val="28"/>
          <w:szCs w:val="28"/>
          <w:lang w:val="en-GB"/>
        </w:rPr>
      </w:pPr>
      <w:r w:rsidRPr="00C93FA6">
        <w:rPr>
          <w:sz w:val="28"/>
          <w:szCs w:val="28"/>
          <w:lang w:val="de-DE"/>
        </w:rPr>
        <w:t xml:space="preserve">* De Pietro, J.-F., Gerber, B., </w:t>
      </w:r>
      <w:proofErr w:type="spellStart"/>
      <w:r w:rsidRPr="00C93FA6">
        <w:rPr>
          <w:sz w:val="28"/>
          <w:szCs w:val="28"/>
          <w:lang w:val="de-DE"/>
        </w:rPr>
        <w:t>Leonforte</w:t>
      </w:r>
      <w:proofErr w:type="spellEnd"/>
      <w:r w:rsidRPr="00C93FA6">
        <w:rPr>
          <w:sz w:val="28"/>
          <w:szCs w:val="28"/>
          <w:lang w:val="de-DE"/>
        </w:rPr>
        <w:t xml:space="preserve">, B., &amp; </w:t>
      </w:r>
      <w:proofErr w:type="spellStart"/>
      <w:r w:rsidRPr="00C93FA6">
        <w:rPr>
          <w:sz w:val="28"/>
          <w:szCs w:val="28"/>
          <w:lang w:val="de-DE"/>
        </w:rPr>
        <w:t>Lichtenauer</w:t>
      </w:r>
      <w:proofErr w:type="spellEnd"/>
      <w:r w:rsidRPr="00C93FA6">
        <w:rPr>
          <w:sz w:val="28"/>
          <w:szCs w:val="28"/>
          <w:lang w:val="de-DE"/>
        </w:rPr>
        <w:t xml:space="preserve">, K. (2015). </w:t>
      </w:r>
      <w:r w:rsidRPr="00C93FA6">
        <w:rPr>
          <w:sz w:val="28"/>
          <w:szCs w:val="28"/>
        </w:rPr>
        <w:t xml:space="preserve">Quelle place pour les approches plurielles dans les nouveaux plans d’études des trois régions linguistiques de la Suisse? </w:t>
      </w:r>
      <w:r w:rsidRPr="00C93FA6">
        <w:rPr>
          <w:sz w:val="28"/>
          <w:szCs w:val="28"/>
          <w:lang w:val="en-GB"/>
        </w:rPr>
        <w:t>Babylonia 2, 59-65.</w:t>
      </w:r>
    </w:p>
    <w:p w:rsidR="004F4B97" w:rsidRPr="0068525D" w:rsidRDefault="004F4B97" w:rsidP="004A4CDC">
      <w:pPr>
        <w:pStyle w:val="Diapo"/>
        <w:rPr>
          <w:b/>
          <w:color w:val="FF0000"/>
          <w:sz w:val="32"/>
          <w:szCs w:val="32"/>
        </w:rPr>
      </w:pPr>
      <w:r>
        <w:t xml:space="preserve"> </w:t>
      </w:r>
    </w:p>
    <w:p w:rsidR="009363DF" w:rsidRPr="000F4646" w:rsidRDefault="000F4646" w:rsidP="000F4646">
      <w:pPr>
        <w:pStyle w:val="Diapo"/>
        <w:rPr>
          <w:b/>
          <w:color w:val="FF0000"/>
          <w:sz w:val="32"/>
          <w:szCs w:val="32"/>
          <w:lang w:val="en-GB"/>
        </w:rPr>
      </w:pPr>
      <w:r w:rsidRPr="000F4646">
        <w:rPr>
          <w:lang w:val="en-GB"/>
        </w:rPr>
        <w:t>Our second example is the new curriculum in Finland</w:t>
      </w:r>
      <w:r w:rsidR="009363DF" w:rsidRPr="000F4646">
        <w:rPr>
          <w:lang w:val="en-GB"/>
        </w:rPr>
        <w:t xml:space="preserve"> </w:t>
      </w:r>
    </w:p>
    <w:p w:rsidR="00FB47BB" w:rsidRPr="00EB794E" w:rsidRDefault="00EB794E" w:rsidP="00EB794E">
      <w:pPr>
        <w:pStyle w:val="Diapo"/>
        <w:spacing w:after="0"/>
        <w:rPr>
          <w:b/>
          <w:color w:val="FF0000"/>
          <w:sz w:val="32"/>
          <w:szCs w:val="32"/>
          <w:lang w:val="en-GB"/>
        </w:rPr>
      </w:pPr>
      <w:r>
        <w:rPr>
          <w:lang w:val="en-GB"/>
        </w:rPr>
        <w:t>…</w:t>
      </w:r>
      <w:r>
        <w:rPr>
          <w:lang w:val="en-GB"/>
        </w:rPr>
        <w:br/>
      </w:r>
      <w:r w:rsidRPr="00EB794E">
        <w:rPr>
          <w:lang w:val="en-GB"/>
        </w:rPr>
        <w:t xml:space="preserve">In order to understand the link between both initiatives, you have to know that the school system in Finland is partly decentralized and that </w:t>
      </w:r>
      <w:proofErr w:type="gramStart"/>
      <w:r w:rsidRPr="00EB794E">
        <w:rPr>
          <w:lang w:val="en-GB"/>
        </w:rPr>
        <w:t>municipalities  can</w:t>
      </w:r>
      <w:proofErr w:type="gramEnd"/>
      <w:r w:rsidRPr="00EB794E">
        <w:rPr>
          <w:lang w:val="en-GB"/>
        </w:rPr>
        <w:t xml:space="preserve"> offer teaching complements for their schoo</w:t>
      </w:r>
      <w:r>
        <w:rPr>
          <w:lang w:val="en-GB"/>
        </w:rPr>
        <w:t>l.</w:t>
      </w:r>
    </w:p>
    <w:p w:rsidR="000F34D6" w:rsidRPr="00EB794E" w:rsidRDefault="00EB794E" w:rsidP="00E334F8">
      <w:pPr>
        <w:rPr>
          <w:sz w:val="28"/>
          <w:szCs w:val="28"/>
          <w:lang w:val="en-GB"/>
        </w:rPr>
      </w:pPr>
      <w:r w:rsidRPr="00EB794E">
        <w:rPr>
          <w:sz w:val="28"/>
          <w:szCs w:val="28"/>
          <w:lang w:val="en-GB"/>
        </w:rPr>
        <w:t>In the case of the Oulu « global citizen’s path », the material developed has been recommended by the Ministry for the whole country</w:t>
      </w:r>
      <w:r w:rsidR="006C1924" w:rsidRPr="00EB794E">
        <w:rPr>
          <w:sz w:val="28"/>
          <w:szCs w:val="28"/>
          <w:lang w:val="en-GB"/>
        </w:rPr>
        <w:t xml:space="preserve">. </w:t>
      </w:r>
    </w:p>
    <w:p w:rsidR="00EB794E" w:rsidRPr="00EB794E" w:rsidRDefault="00EB794E" w:rsidP="00EB794E">
      <w:pPr>
        <w:pStyle w:val="Paragraphedeliste"/>
        <w:numPr>
          <w:ilvl w:val="0"/>
          <w:numId w:val="4"/>
        </w:numPr>
        <w:ind w:left="426" w:hanging="710"/>
        <w:rPr>
          <w:b/>
          <w:color w:val="FF0000"/>
          <w:sz w:val="32"/>
          <w:szCs w:val="32"/>
          <w:lang w:val="en-GB"/>
        </w:rPr>
      </w:pPr>
      <w:r w:rsidRPr="00EB794E">
        <w:rPr>
          <w:sz w:val="28"/>
          <w:szCs w:val="28"/>
          <w:lang w:val="en-GB"/>
        </w:rPr>
        <w:t>This “path to global citizenship” offers two elements:</w:t>
      </w:r>
    </w:p>
    <w:p w:rsidR="00EB794E" w:rsidRPr="00EB794E" w:rsidRDefault="00EB794E" w:rsidP="00EB794E">
      <w:pPr>
        <w:pStyle w:val="Paragraphedeliste"/>
        <w:numPr>
          <w:ilvl w:val="0"/>
          <w:numId w:val="9"/>
        </w:numPr>
        <w:rPr>
          <w:sz w:val="28"/>
          <w:szCs w:val="28"/>
          <w:lang w:val="en-GB"/>
        </w:rPr>
      </w:pPr>
      <w:r w:rsidRPr="00EB794E">
        <w:rPr>
          <w:b/>
          <w:color w:val="FF0000"/>
          <w:sz w:val="44"/>
          <w:szCs w:val="44"/>
          <w:lang w:val="en-GB"/>
        </w:rPr>
        <w:t xml:space="preserve">≥ </w:t>
      </w:r>
      <w:r w:rsidRPr="00EB794E">
        <w:rPr>
          <w:sz w:val="28"/>
          <w:szCs w:val="28"/>
          <w:lang w:val="en-GB"/>
        </w:rPr>
        <w:t>Two sets of teaching aims</w:t>
      </w:r>
      <w:r w:rsidRPr="00EB794E">
        <w:rPr>
          <w:sz w:val="28"/>
          <w:szCs w:val="28"/>
          <w:lang w:val="en-GB"/>
        </w:rPr>
        <w:t>.</w:t>
      </w:r>
    </w:p>
    <w:p w:rsidR="00EB794E" w:rsidRPr="00EB794E" w:rsidRDefault="00EB794E" w:rsidP="00EB794E">
      <w:pPr>
        <w:pStyle w:val="Paragraphedeliste"/>
        <w:numPr>
          <w:ilvl w:val="0"/>
          <w:numId w:val="9"/>
        </w:numPr>
        <w:rPr>
          <w:sz w:val="28"/>
          <w:szCs w:val="28"/>
          <w:lang w:val="en-GB"/>
        </w:rPr>
      </w:pPr>
      <w:r w:rsidRPr="00EB794E">
        <w:rPr>
          <w:b/>
          <w:color w:val="FF0000"/>
          <w:sz w:val="44"/>
          <w:szCs w:val="44"/>
          <w:lang w:val="en-GB"/>
        </w:rPr>
        <w:t xml:space="preserve">≥ </w:t>
      </w:r>
      <w:proofErr w:type="gramStart"/>
      <w:r w:rsidRPr="00EB794E">
        <w:rPr>
          <w:sz w:val="28"/>
          <w:szCs w:val="28"/>
          <w:lang w:val="en-GB"/>
        </w:rPr>
        <w:t>Teaching</w:t>
      </w:r>
      <w:proofErr w:type="gramEnd"/>
      <w:r w:rsidRPr="00EB794E">
        <w:rPr>
          <w:sz w:val="28"/>
          <w:szCs w:val="28"/>
          <w:lang w:val="en-GB"/>
        </w:rPr>
        <w:t xml:space="preserve"> materials.</w:t>
      </w:r>
    </w:p>
    <w:p w:rsidR="00EB794E" w:rsidRPr="00EB794E" w:rsidRDefault="00EB794E" w:rsidP="00EB794E">
      <w:pPr>
        <w:rPr>
          <w:sz w:val="28"/>
          <w:szCs w:val="28"/>
          <w:lang w:val="en-GB"/>
        </w:rPr>
      </w:pPr>
      <w:r w:rsidRPr="00EB794E">
        <w:rPr>
          <w:b/>
          <w:color w:val="FF0000"/>
          <w:sz w:val="44"/>
          <w:szCs w:val="44"/>
          <w:lang w:val="en-GB"/>
        </w:rPr>
        <w:t xml:space="preserve">≥ </w:t>
      </w:r>
      <w:proofErr w:type="gramStart"/>
      <w:r w:rsidRPr="00EB794E">
        <w:rPr>
          <w:sz w:val="28"/>
          <w:szCs w:val="28"/>
          <w:lang w:val="en-GB"/>
        </w:rPr>
        <w:t>Both</w:t>
      </w:r>
      <w:proofErr w:type="gramEnd"/>
      <w:r w:rsidRPr="00EB794E">
        <w:rPr>
          <w:sz w:val="28"/>
          <w:szCs w:val="28"/>
          <w:lang w:val="en-GB"/>
        </w:rPr>
        <w:t xml:space="preserve"> – teaching objectives and materials – have been adapted from the FREPA</w:t>
      </w:r>
    </w:p>
    <w:p w:rsidR="000D6AD1" w:rsidRPr="000E2B38" w:rsidRDefault="000E2B38" w:rsidP="000E2B38">
      <w:pPr>
        <w:pStyle w:val="Paragraphedeliste"/>
        <w:numPr>
          <w:ilvl w:val="0"/>
          <w:numId w:val="4"/>
        </w:numPr>
        <w:ind w:left="426" w:hanging="710"/>
        <w:rPr>
          <w:b/>
          <w:color w:val="FF0000"/>
          <w:sz w:val="32"/>
          <w:szCs w:val="32"/>
          <w:lang w:val="en-GB"/>
        </w:rPr>
      </w:pPr>
      <w:r w:rsidRPr="000E2B38">
        <w:rPr>
          <w:sz w:val="28"/>
          <w:szCs w:val="28"/>
          <w:lang w:val="en-GB"/>
        </w:rPr>
        <w:t>This is a summary of the – indirect - way in which FREPA is connected to the new Finnish curriculu</w:t>
      </w:r>
      <w:r w:rsidR="00A60A04">
        <w:rPr>
          <w:sz w:val="28"/>
          <w:szCs w:val="28"/>
          <w:lang w:val="en-GB"/>
        </w:rPr>
        <w:t>m</w:t>
      </w:r>
      <w:r w:rsidR="000D6AD1" w:rsidRPr="000E2B38">
        <w:rPr>
          <w:sz w:val="28"/>
          <w:szCs w:val="28"/>
          <w:lang w:val="en-GB"/>
        </w:rPr>
        <w:t>.</w:t>
      </w:r>
    </w:p>
    <w:p w:rsidR="00587AF8" w:rsidRPr="000E2B38" w:rsidRDefault="000E2B38" w:rsidP="009D3A49">
      <w:pPr>
        <w:ind w:left="360"/>
        <w:rPr>
          <w:sz w:val="28"/>
          <w:szCs w:val="28"/>
          <w:lang w:val="en-GB"/>
        </w:rPr>
      </w:pPr>
      <w:r w:rsidRPr="000E2B38">
        <w:rPr>
          <w:sz w:val="28"/>
          <w:szCs w:val="28"/>
          <w:lang w:val="en-GB"/>
        </w:rPr>
        <w:t>Again, no explicit reference to the FREPA is made in the curriculum, but</w:t>
      </w:r>
      <w:r>
        <w:rPr>
          <w:sz w:val="28"/>
          <w:szCs w:val="28"/>
          <w:lang w:val="en-GB"/>
        </w:rPr>
        <w:t>..</w:t>
      </w:r>
      <w:r w:rsidR="00776015" w:rsidRPr="000E2B38">
        <w:rPr>
          <w:sz w:val="28"/>
          <w:szCs w:val="28"/>
          <w:lang w:val="en-GB"/>
        </w:rPr>
        <w:t>.</w:t>
      </w:r>
    </w:p>
    <w:p w:rsidR="000D6AD1" w:rsidRPr="000E2B38" w:rsidRDefault="000E2B38" w:rsidP="000E2B38">
      <w:pPr>
        <w:pStyle w:val="Paragraphedeliste"/>
        <w:numPr>
          <w:ilvl w:val="0"/>
          <w:numId w:val="4"/>
        </w:numPr>
        <w:ind w:left="426" w:hanging="710"/>
        <w:rPr>
          <w:b/>
          <w:color w:val="FF0000"/>
          <w:sz w:val="32"/>
          <w:szCs w:val="32"/>
          <w:lang w:val="en-GB"/>
        </w:rPr>
      </w:pPr>
      <w:r w:rsidRPr="000E2B38">
        <w:rPr>
          <w:sz w:val="28"/>
          <w:szCs w:val="28"/>
          <w:lang w:val="en-GB"/>
        </w:rPr>
        <w:t xml:space="preserve">It should be clear that the indirect connection from the FREPA to the Finnish curriculum through Oulu’s instruments wouldn’t be possible if the Finnish curriculum had not adopted some main principles of the FREPA. </w:t>
      </w:r>
      <w:r w:rsidR="000D6AD1" w:rsidRPr="000E2B38">
        <w:rPr>
          <w:sz w:val="28"/>
          <w:szCs w:val="28"/>
          <w:lang w:val="en-GB"/>
        </w:rPr>
        <w:t>…</w:t>
      </w:r>
    </w:p>
    <w:p w:rsidR="000D6AD1" w:rsidRPr="000E2B38" w:rsidRDefault="000E2B38" w:rsidP="000D6AD1">
      <w:pPr>
        <w:ind w:left="568"/>
        <w:rPr>
          <w:sz w:val="28"/>
          <w:szCs w:val="28"/>
          <w:lang w:val="en-GB"/>
        </w:rPr>
      </w:pPr>
      <w:r w:rsidRPr="000E2B38">
        <w:rPr>
          <w:sz w:val="28"/>
          <w:szCs w:val="28"/>
          <w:lang w:val="en-GB"/>
        </w:rPr>
        <w:lastRenderedPageBreak/>
        <w:t>And indeed, one person who was strongly involved in the conception of the curriculum told us “of course, we have been inspired by the FREPA ideas”</w:t>
      </w:r>
      <w:r w:rsidR="000D6AD1" w:rsidRPr="000E2B38">
        <w:rPr>
          <w:sz w:val="28"/>
          <w:szCs w:val="28"/>
          <w:lang w:val="en-GB"/>
        </w:rPr>
        <w:t>.</w:t>
      </w:r>
    </w:p>
    <w:p w:rsidR="00847AA5" w:rsidRPr="00A60A04" w:rsidRDefault="000E2B38" w:rsidP="000E2B38">
      <w:pPr>
        <w:pStyle w:val="Paragraphedeliste"/>
        <w:numPr>
          <w:ilvl w:val="0"/>
          <w:numId w:val="4"/>
        </w:numPr>
        <w:ind w:left="567" w:hanging="851"/>
        <w:rPr>
          <w:b/>
          <w:color w:val="FF0000"/>
          <w:sz w:val="32"/>
          <w:szCs w:val="32"/>
          <w:lang w:val="en-GB"/>
        </w:rPr>
      </w:pPr>
      <w:r w:rsidRPr="000E2B38">
        <w:rPr>
          <w:sz w:val="28"/>
          <w:szCs w:val="28"/>
          <w:lang w:val="en-GB"/>
        </w:rPr>
        <w:t xml:space="preserve">Here are the two sets of teaching objectives proposed in Oulu’s Path to global citizenship, this time in English. </w:t>
      </w:r>
      <w:r w:rsidRPr="00A60A04">
        <w:rPr>
          <w:sz w:val="28"/>
          <w:szCs w:val="28"/>
          <w:lang w:val="en-GB"/>
        </w:rPr>
        <w:t>First the language grid.</w:t>
      </w:r>
      <w:r w:rsidR="00847AA5" w:rsidRPr="00A60A04">
        <w:rPr>
          <w:sz w:val="28"/>
          <w:szCs w:val="28"/>
          <w:lang w:val="en-GB"/>
        </w:rPr>
        <w:t>…</w:t>
      </w:r>
    </w:p>
    <w:p w:rsidR="00CE1EC2" w:rsidRPr="0068525D" w:rsidRDefault="00CE1EC2" w:rsidP="000E2B38">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w:t>
      </w:r>
      <w:r w:rsidR="000E2B38" w:rsidRPr="000E2B38">
        <w:rPr>
          <w:sz w:val="28"/>
          <w:szCs w:val="28"/>
        </w:rPr>
        <w:t xml:space="preserve">And </w:t>
      </w:r>
      <w:proofErr w:type="spellStart"/>
      <w:r w:rsidR="000E2B38" w:rsidRPr="000E2B38">
        <w:rPr>
          <w:sz w:val="28"/>
          <w:szCs w:val="28"/>
        </w:rPr>
        <w:t>now</w:t>
      </w:r>
      <w:proofErr w:type="spellEnd"/>
      <w:r w:rsidR="000E2B38" w:rsidRPr="000E2B38">
        <w:rPr>
          <w:sz w:val="28"/>
          <w:szCs w:val="28"/>
        </w:rPr>
        <w:t xml:space="preserve">, the culture </w:t>
      </w:r>
      <w:proofErr w:type="spellStart"/>
      <w:r w:rsidR="000E2B38" w:rsidRPr="000E2B38">
        <w:rPr>
          <w:sz w:val="28"/>
          <w:szCs w:val="28"/>
        </w:rPr>
        <w:t>grid</w:t>
      </w:r>
      <w:proofErr w:type="spellEnd"/>
    </w:p>
    <w:p w:rsidR="00CE1EC2" w:rsidRPr="000E2B38" w:rsidRDefault="000E2B38" w:rsidP="009D3A49">
      <w:pPr>
        <w:ind w:left="360"/>
        <w:rPr>
          <w:sz w:val="28"/>
          <w:szCs w:val="28"/>
          <w:lang w:val="en-GB"/>
        </w:rPr>
      </w:pPr>
      <w:r w:rsidRPr="000E2B38">
        <w:rPr>
          <w:sz w:val="28"/>
          <w:szCs w:val="28"/>
          <w:lang w:val="en-GB"/>
        </w:rPr>
        <w:t>In both cases, the proximity with the FREPA descriptors is obvious</w:t>
      </w:r>
      <w:r>
        <w:rPr>
          <w:sz w:val="28"/>
          <w:szCs w:val="28"/>
          <w:lang w:val="en-GB"/>
        </w:rPr>
        <w:t>.</w:t>
      </w:r>
    </w:p>
    <w:p w:rsidR="000E2B38" w:rsidRPr="000E2B38" w:rsidRDefault="000E2B38" w:rsidP="009D3A49">
      <w:pPr>
        <w:ind w:left="360"/>
        <w:rPr>
          <w:sz w:val="28"/>
          <w:szCs w:val="28"/>
          <w:lang w:val="en-GB"/>
        </w:rPr>
      </w:pPr>
      <w:r w:rsidRPr="000E2B38">
        <w:rPr>
          <w:sz w:val="28"/>
          <w:szCs w:val="28"/>
          <w:lang w:val="en-GB"/>
        </w:rPr>
        <w:t xml:space="preserve">In order to know more about the work done in Oulu: https://frepafin.wordpress.com  </w:t>
      </w:r>
    </w:p>
    <w:p w:rsidR="000E2B38" w:rsidRPr="000E2B38" w:rsidRDefault="000E2B38" w:rsidP="00755989">
      <w:pPr>
        <w:pStyle w:val="Paragraphedeliste"/>
        <w:numPr>
          <w:ilvl w:val="0"/>
          <w:numId w:val="4"/>
        </w:numPr>
        <w:ind w:left="284" w:hanging="568"/>
        <w:rPr>
          <w:b/>
          <w:color w:val="FF0000"/>
          <w:sz w:val="32"/>
          <w:szCs w:val="32"/>
        </w:rPr>
      </w:pPr>
    </w:p>
    <w:p w:rsidR="00755989" w:rsidRPr="00A866B1" w:rsidRDefault="00755989" w:rsidP="00A866B1">
      <w:pPr>
        <w:pStyle w:val="Paragraphedeliste"/>
        <w:numPr>
          <w:ilvl w:val="0"/>
          <w:numId w:val="4"/>
        </w:numPr>
        <w:ind w:left="284" w:hanging="568"/>
        <w:rPr>
          <w:b/>
          <w:color w:val="FF0000"/>
          <w:sz w:val="32"/>
          <w:szCs w:val="32"/>
          <w:lang w:val="en-GB"/>
        </w:rPr>
      </w:pPr>
      <w:r w:rsidRPr="007203C9">
        <w:rPr>
          <w:i/>
          <w:sz w:val="28"/>
          <w:szCs w:val="28"/>
        </w:rPr>
        <w:t>.</w:t>
      </w:r>
      <w:r>
        <w:rPr>
          <w:sz w:val="28"/>
          <w:szCs w:val="28"/>
        </w:rPr>
        <w:t xml:space="preserve"> </w:t>
      </w:r>
      <w:r w:rsidR="00A866B1" w:rsidRPr="00A866B1">
        <w:rPr>
          <w:sz w:val="28"/>
          <w:szCs w:val="28"/>
          <w:lang w:val="en-GB"/>
        </w:rPr>
        <w:t xml:space="preserve">Our third example is the new « Piano di studio </w:t>
      </w:r>
      <w:proofErr w:type="spellStart"/>
      <w:r w:rsidR="00A866B1" w:rsidRPr="00A866B1">
        <w:rPr>
          <w:sz w:val="28"/>
          <w:szCs w:val="28"/>
          <w:lang w:val="en-GB"/>
        </w:rPr>
        <w:t>della</w:t>
      </w:r>
      <w:proofErr w:type="spellEnd"/>
      <w:r w:rsidR="00A866B1" w:rsidRPr="00A866B1">
        <w:rPr>
          <w:sz w:val="28"/>
          <w:szCs w:val="28"/>
          <w:lang w:val="en-GB"/>
        </w:rPr>
        <w:t xml:space="preserve"> </w:t>
      </w:r>
      <w:proofErr w:type="spellStart"/>
      <w:r w:rsidR="00A866B1" w:rsidRPr="00A866B1">
        <w:rPr>
          <w:sz w:val="28"/>
          <w:szCs w:val="28"/>
          <w:lang w:val="en-GB"/>
        </w:rPr>
        <w:t>scuola</w:t>
      </w:r>
      <w:proofErr w:type="spellEnd"/>
      <w:r w:rsidR="00A866B1" w:rsidRPr="00A866B1">
        <w:rPr>
          <w:sz w:val="28"/>
          <w:szCs w:val="28"/>
          <w:lang w:val="en-GB"/>
        </w:rPr>
        <w:t xml:space="preserve"> </w:t>
      </w:r>
      <w:proofErr w:type="spellStart"/>
      <w:r w:rsidR="00A866B1" w:rsidRPr="00A866B1">
        <w:rPr>
          <w:sz w:val="28"/>
          <w:szCs w:val="28"/>
          <w:lang w:val="en-GB"/>
        </w:rPr>
        <w:t>dell’obbligo</w:t>
      </w:r>
      <w:proofErr w:type="spellEnd"/>
      <w:r w:rsidR="00A866B1" w:rsidRPr="00A866B1">
        <w:rPr>
          <w:sz w:val="28"/>
          <w:szCs w:val="28"/>
          <w:lang w:val="en-GB"/>
        </w:rPr>
        <w:t>» of Ticino (Italian-speaking part of Switzerland) which was issued in 20</w:t>
      </w:r>
      <w:r w:rsidR="00A866B1">
        <w:rPr>
          <w:sz w:val="28"/>
          <w:szCs w:val="28"/>
          <w:lang w:val="en-GB"/>
        </w:rPr>
        <w:t>16</w:t>
      </w:r>
      <w:r w:rsidRPr="00A866B1">
        <w:rPr>
          <w:sz w:val="28"/>
          <w:szCs w:val="28"/>
          <w:lang w:val="en-GB"/>
        </w:rPr>
        <w:t xml:space="preserve"> </w:t>
      </w:r>
    </w:p>
    <w:p w:rsidR="00A3504F" w:rsidRPr="00A866B1" w:rsidRDefault="006A3D63" w:rsidP="00A866B1">
      <w:pPr>
        <w:pStyle w:val="Paragraphedeliste"/>
        <w:numPr>
          <w:ilvl w:val="0"/>
          <w:numId w:val="4"/>
        </w:numPr>
        <w:ind w:left="284" w:hanging="568"/>
        <w:rPr>
          <w:b/>
          <w:color w:val="FF0000"/>
          <w:sz w:val="32"/>
          <w:szCs w:val="32"/>
          <w:lang w:val="en-GB"/>
        </w:rPr>
      </w:pPr>
      <w:r w:rsidRPr="006A3D63">
        <w:rPr>
          <w:sz w:val="28"/>
          <w:szCs w:val="28"/>
        </w:rPr>
        <w:t>.</w:t>
      </w:r>
      <w:r w:rsidR="00A866B1" w:rsidRPr="00A866B1">
        <w:t xml:space="preserve"> </w:t>
      </w:r>
      <w:r w:rsidR="00A866B1" w:rsidRPr="00A866B1">
        <w:rPr>
          <w:sz w:val="28"/>
          <w:szCs w:val="28"/>
          <w:lang w:val="en-GB"/>
        </w:rPr>
        <w:t xml:space="preserve">It contains a « language area » (p. 91) consisting of Italian, the « second languages » French, German and English, and Latin. </w:t>
      </w:r>
    </w:p>
    <w:p w:rsidR="002A03ED" w:rsidRPr="00A866B1" w:rsidRDefault="002A03ED" w:rsidP="00A866B1">
      <w:pPr>
        <w:pStyle w:val="Paragraphedeliste"/>
        <w:numPr>
          <w:ilvl w:val="0"/>
          <w:numId w:val="4"/>
        </w:numPr>
        <w:ind w:left="284" w:hanging="568"/>
        <w:rPr>
          <w:b/>
          <w:color w:val="FF0000"/>
          <w:sz w:val="32"/>
          <w:szCs w:val="32"/>
          <w:lang w:val="en-GB"/>
        </w:rPr>
      </w:pPr>
      <w:r w:rsidRPr="00A866B1">
        <w:rPr>
          <w:sz w:val="28"/>
          <w:szCs w:val="28"/>
          <w:lang w:val="en-GB"/>
        </w:rPr>
        <w:t xml:space="preserve"> </w:t>
      </w:r>
      <w:r w:rsidR="00A866B1" w:rsidRPr="00A866B1">
        <w:rPr>
          <w:sz w:val="28"/>
          <w:szCs w:val="28"/>
          <w:lang w:val="en-GB"/>
        </w:rPr>
        <w:t xml:space="preserve">The development of the plurilingual competence is illustrated by a diagram (p. 114) in which two pluralistic approaches </w:t>
      </w:r>
      <w:proofErr w:type="spellStart"/>
      <w:r w:rsidR="00A866B1" w:rsidRPr="00A866B1">
        <w:rPr>
          <w:sz w:val="28"/>
          <w:szCs w:val="28"/>
          <w:lang w:val="en-GB"/>
        </w:rPr>
        <w:t>explicitely</w:t>
      </w:r>
      <w:proofErr w:type="spellEnd"/>
      <w:r w:rsidR="00A866B1" w:rsidRPr="00A866B1">
        <w:rPr>
          <w:sz w:val="28"/>
          <w:szCs w:val="28"/>
          <w:lang w:val="en-GB"/>
        </w:rPr>
        <w:t xml:space="preserve"> appear: Awakening to languages and Integrated didactics (or: Integrated language learning/teaching)</w:t>
      </w:r>
      <w:proofErr w:type="gramStart"/>
      <w:r w:rsidR="00A866B1" w:rsidRPr="00A866B1">
        <w:rPr>
          <w:sz w:val="28"/>
          <w:szCs w:val="28"/>
          <w:lang w:val="en-GB"/>
        </w:rPr>
        <w:t>.</w:t>
      </w:r>
      <w:r w:rsidRPr="00A866B1">
        <w:rPr>
          <w:sz w:val="28"/>
          <w:szCs w:val="28"/>
          <w:lang w:val="en-GB"/>
        </w:rPr>
        <w:t>.</w:t>
      </w:r>
      <w:proofErr w:type="gramEnd"/>
    </w:p>
    <w:p w:rsidR="002A03ED" w:rsidRPr="00A866B1" w:rsidRDefault="002A03ED" w:rsidP="00A866B1">
      <w:pPr>
        <w:pStyle w:val="Paragraphedeliste"/>
        <w:numPr>
          <w:ilvl w:val="0"/>
          <w:numId w:val="4"/>
        </w:numPr>
        <w:ind w:left="284" w:hanging="568"/>
        <w:rPr>
          <w:b/>
          <w:color w:val="FF0000"/>
          <w:sz w:val="32"/>
          <w:szCs w:val="32"/>
          <w:lang w:val="en-GB"/>
        </w:rPr>
      </w:pPr>
      <w:r w:rsidRPr="00A866B1">
        <w:rPr>
          <w:i/>
          <w:sz w:val="28"/>
          <w:szCs w:val="28"/>
          <w:lang w:val="en-GB"/>
        </w:rPr>
        <w:t>.</w:t>
      </w:r>
      <w:r w:rsidR="00A866B1" w:rsidRPr="00A866B1">
        <w:rPr>
          <w:lang w:val="en-GB"/>
        </w:rPr>
        <w:t xml:space="preserve"> </w:t>
      </w:r>
      <w:r w:rsidR="00A866B1" w:rsidRPr="00A866B1">
        <w:rPr>
          <w:sz w:val="28"/>
          <w:szCs w:val="28"/>
          <w:lang w:val="en-GB"/>
        </w:rPr>
        <w:t>Five « domains of competence » are distinguished: comprehension and expression, both oral and written, and the « plurilingual and intercultural dimension » (p. 115)</w:t>
      </w:r>
      <w:proofErr w:type="gramStart"/>
      <w:r w:rsidR="00A866B1" w:rsidRPr="00A866B1">
        <w:rPr>
          <w:sz w:val="28"/>
          <w:szCs w:val="28"/>
          <w:lang w:val="en-GB"/>
        </w:rPr>
        <w:t>.</w:t>
      </w:r>
      <w:r w:rsidRPr="00A866B1">
        <w:rPr>
          <w:sz w:val="28"/>
          <w:szCs w:val="28"/>
          <w:lang w:val="en-GB"/>
        </w:rPr>
        <w:t>.</w:t>
      </w:r>
      <w:proofErr w:type="gramEnd"/>
    </w:p>
    <w:p w:rsidR="002A03ED" w:rsidRDefault="00A866B1" w:rsidP="009D3A49">
      <w:pPr>
        <w:ind w:left="360"/>
        <w:rPr>
          <w:sz w:val="28"/>
          <w:szCs w:val="28"/>
          <w:lang w:val="en-GB"/>
        </w:rPr>
      </w:pPr>
      <w:r w:rsidRPr="00A866B1">
        <w:rPr>
          <w:sz w:val="28"/>
          <w:szCs w:val="28"/>
          <w:lang w:val="en-GB"/>
        </w:rPr>
        <w:t xml:space="preserve">The authors indicate on page 116: « For the description of this last domain, reference is made to the FREPA ».   </w:t>
      </w:r>
    </w:p>
    <w:p w:rsidR="00A866B1" w:rsidRPr="00A866B1" w:rsidRDefault="00A866B1" w:rsidP="009D3A49">
      <w:pPr>
        <w:ind w:left="360"/>
        <w:rPr>
          <w:sz w:val="28"/>
          <w:szCs w:val="28"/>
          <w:lang w:val="en-GB"/>
        </w:rPr>
      </w:pPr>
      <w:r w:rsidRPr="00A866B1">
        <w:rPr>
          <w:sz w:val="28"/>
          <w:szCs w:val="28"/>
          <w:lang w:val="en-GB"/>
        </w:rPr>
        <w:t>Here, the reference to the FREPA is explicit and direct</w:t>
      </w:r>
      <w:r>
        <w:rPr>
          <w:sz w:val="28"/>
          <w:szCs w:val="28"/>
          <w:lang w:val="en-GB"/>
        </w:rPr>
        <w:t>.</w:t>
      </w:r>
    </w:p>
    <w:p w:rsidR="000919FF" w:rsidRPr="00A866B1" w:rsidRDefault="000919FF" w:rsidP="00A866B1">
      <w:pPr>
        <w:pStyle w:val="Paragraphedeliste"/>
        <w:numPr>
          <w:ilvl w:val="0"/>
          <w:numId w:val="4"/>
        </w:numPr>
        <w:ind w:left="284" w:hanging="568"/>
        <w:rPr>
          <w:b/>
          <w:color w:val="FF0000"/>
          <w:sz w:val="32"/>
          <w:szCs w:val="32"/>
          <w:lang w:val="en-GB"/>
        </w:rPr>
      </w:pPr>
      <w:r w:rsidRPr="00A866B1">
        <w:rPr>
          <w:i/>
          <w:sz w:val="28"/>
          <w:szCs w:val="28"/>
          <w:lang w:val="en-GB"/>
        </w:rPr>
        <w:t>.</w:t>
      </w:r>
      <w:r w:rsidR="00A866B1" w:rsidRPr="00A866B1">
        <w:rPr>
          <w:lang w:val="en-GB"/>
        </w:rPr>
        <w:t xml:space="preserve"> </w:t>
      </w:r>
      <w:r w:rsidR="00A866B1" w:rsidRPr="00A866B1">
        <w:rPr>
          <w:sz w:val="28"/>
          <w:szCs w:val="28"/>
          <w:lang w:val="en-GB"/>
        </w:rPr>
        <w:t>And indeed, the attitudes, skills and knowledge given in the curriculum are taken with some minor adaptations from the FREPA lists of descriptors, as indicated in the following slides</w:t>
      </w:r>
      <w:proofErr w:type="gramStart"/>
      <w:r w:rsidR="00A866B1" w:rsidRPr="00A866B1">
        <w:rPr>
          <w:sz w:val="28"/>
          <w:szCs w:val="28"/>
          <w:lang w:val="en-GB"/>
        </w:rPr>
        <w:t>.</w:t>
      </w:r>
      <w:r w:rsidRPr="00A866B1">
        <w:rPr>
          <w:sz w:val="28"/>
          <w:szCs w:val="28"/>
          <w:lang w:val="en-GB"/>
        </w:rPr>
        <w:t>.</w:t>
      </w:r>
      <w:proofErr w:type="gramEnd"/>
    </w:p>
    <w:p w:rsidR="00097F7E" w:rsidRPr="0068525D" w:rsidRDefault="00A866B1" w:rsidP="00A866B1">
      <w:pPr>
        <w:pStyle w:val="Paragraphedeliste"/>
        <w:numPr>
          <w:ilvl w:val="0"/>
          <w:numId w:val="4"/>
        </w:numPr>
        <w:ind w:left="284" w:hanging="568"/>
        <w:rPr>
          <w:b/>
          <w:color w:val="FF0000"/>
          <w:sz w:val="32"/>
          <w:szCs w:val="32"/>
        </w:rPr>
      </w:pPr>
      <w:r w:rsidRPr="00A866B1">
        <w:rPr>
          <w:i/>
          <w:sz w:val="28"/>
          <w:szCs w:val="28"/>
        </w:rPr>
        <w:t xml:space="preserve">Attitudes and </w:t>
      </w:r>
      <w:proofErr w:type="spellStart"/>
      <w:r w:rsidRPr="00A866B1">
        <w:rPr>
          <w:i/>
          <w:sz w:val="28"/>
          <w:szCs w:val="28"/>
        </w:rPr>
        <w:t>skills</w:t>
      </w:r>
      <w:proofErr w:type="spellEnd"/>
      <w:r w:rsidR="00097F7E">
        <w:rPr>
          <w:sz w:val="28"/>
          <w:szCs w:val="28"/>
        </w:rPr>
        <w:t>.</w:t>
      </w:r>
    </w:p>
    <w:p w:rsidR="007043D8" w:rsidRPr="0068525D" w:rsidRDefault="00A866B1" w:rsidP="00A866B1">
      <w:pPr>
        <w:pStyle w:val="Paragraphedeliste"/>
        <w:numPr>
          <w:ilvl w:val="0"/>
          <w:numId w:val="4"/>
        </w:numPr>
        <w:ind w:left="284" w:hanging="568"/>
        <w:rPr>
          <w:b/>
          <w:color w:val="FF0000"/>
          <w:sz w:val="32"/>
          <w:szCs w:val="32"/>
        </w:rPr>
      </w:pPr>
      <w:proofErr w:type="spellStart"/>
      <w:r w:rsidRPr="00A866B1">
        <w:rPr>
          <w:i/>
          <w:sz w:val="28"/>
          <w:szCs w:val="28"/>
        </w:rPr>
        <w:t>Knowledge</w:t>
      </w:r>
      <w:proofErr w:type="spellEnd"/>
      <w:proofErr w:type="gramStart"/>
      <w:r w:rsidRPr="00A866B1">
        <w:rPr>
          <w:sz w:val="28"/>
          <w:szCs w:val="28"/>
        </w:rPr>
        <w:t>.</w:t>
      </w:r>
      <w:r w:rsidR="007043D8">
        <w:rPr>
          <w:sz w:val="28"/>
          <w:szCs w:val="28"/>
        </w:rPr>
        <w:t>.</w:t>
      </w:r>
      <w:proofErr w:type="gramEnd"/>
    </w:p>
    <w:p w:rsidR="00B41874" w:rsidRPr="00A60A04" w:rsidRDefault="00A60A04" w:rsidP="00B41874">
      <w:pPr>
        <w:rPr>
          <w:sz w:val="28"/>
          <w:szCs w:val="28"/>
          <w:lang w:val="en-GB"/>
        </w:rPr>
      </w:pPr>
      <w:r w:rsidRPr="00A60A04">
        <w:rPr>
          <w:sz w:val="28"/>
          <w:szCs w:val="28"/>
          <w:lang w:val="en-GB"/>
        </w:rPr>
        <w:lastRenderedPageBreak/>
        <w:t xml:space="preserve">To know more about the new curriculum of Ticino and its connection with Pluralistic approaches and the FREPA, </w:t>
      </w:r>
      <w:proofErr w:type="gramStart"/>
      <w:r w:rsidRPr="00A60A04">
        <w:rPr>
          <w:sz w:val="28"/>
          <w:szCs w:val="28"/>
          <w:lang w:val="en-GB"/>
        </w:rPr>
        <w:t>see :</w:t>
      </w:r>
      <w:proofErr w:type="gramEnd"/>
    </w:p>
    <w:p w:rsidR="009708E6" w:rsidRDefault="00A60A04" w:rsidP="00097F7E">
      <w:pPr>
        <w:ind w:left="360"/>
        <w:rPr>
          <w:sz w:val="28"/>
          <w:szCs w:val="28"/>
          <w:lang w:val="en-GB"/>
        </w:rPr>
      </w:pPr>
      <w:r w:rsidRPr="00A60A04">
        <w:rPr>
          <w:sz w:val="28"/>
          <w:szCs w:val="28"/>
          <w:lang w:val="de-DE"/>
        </w:rPr>
        <w:t xml:space="preserve">De Pietro, J.-F., Gerber, B., </w:t>
      </w:r>
      <w:proofErr w:type="spellStart"/>
      <w:r w:rsidRPr="00A60A04">
        <w:rPr>
          <w:sz w:val="28"/>
          <w:szCs w:val="28"/>
          <w:lang w:val="de-DE"/>
        </w:rPr>
        <w:t>Leonforte</w:t>
      </w:r>
      <w:proofErr w:type="spellEnd"/>
      <w:r w:rsidRPr="00A60A04">
        <w:rPr>
          <w:sz w:val="28"/>
          <w:szCs w:val="28"/>
          <w:lang w:val="de-DE"/>
        </w:rPr>
        <w:t xml:space="preserve">, B., &amp; </w:t>
      </w:r>
      <w:proofErr w:type="spellStart"/>
      <w:r w:rsidRPr="00A60A04">
        <w:rPr>
          <w:sz w:val="28"/>
          <w:szCs w:val="28"/>
          <w:lang w:val="de-DE"/>
        </w:rPr>
        <w:t>Lichtenauer</w:t>
      </w:r>
      <w:proofErr w:type="spellEnd"/>
      <w:r w:rsidRPr="00A60A04">
        <w:rPr>
          <w:sz w:val="28"/>
          <w:szCs w:val="28"/>
          <w:lang w:val="de-DE"/>
        </w:rPr>
        <w:t xml:space="preserve">, K. (2015). </w:t>
      </w:r>
      <w:r w:rsidRPr="00A60A04">
        <w:rPr>
          <w:sz w:val="28"/>
          <w:szCs w:val="28"/>
        </w:rPr>
        <w:t xml:space="preserve">Quelle place pour les approches plurielles dans les nouveaux plans d’études des trois régions linguistiques de la Suisse? </w:t>
      </w:r>
      <w:r w:rsidRPr="00A60A04">
        <w:rPr>
          <w:i/>
          <w:sz w:val="28"/>
          <w:szCs w:val="28"/>
          <w:lang w:val="en-GB"/>
        </w:rPr>
        <w:t>Babylonia 2</w:t>
      </w:r>
      <w:r w:rsidRPr="00A60A04">
        <w:rPr>
          <w:sz w:val="28"/>
          <w:szCs w:val="28"/>
          <w:lang w:val="en-GB"/>
        </w:rPr>
        <w:t>, 59-6</w:t>
      </w:r>
      <w:r>
        <w:rPr>
          <w:sz w:val="28"/>
          <w:szCs w:val="28"/>
          <w:lang w:val="en-GB"/>
        </w:rPr>
        <w:t>5.</w:t>
      </w:r>
    </w:p>
    <w:p w:rsidR="00A60A04" w:rsidRPr="00A60A04" w:rsidRDefault="00A60A04" w:rsidP="00097F7E">
      <w:pPr>
        <w:ind w:left="360"/>
        <w:rPr>
          <w:sz w:val="28"/>
          <w:szCs w:val="28"/>
          <w:lang w:val="en-GB"/>
        </w:rPr>
      </w:pPr>
      <w:hyperlink r:id="rId8" w:history="1">
        <w:r w:rsidRPr="00CA5253">
          <w:rPr>
            <w:rStyle w:val="Lienhypertexte"/>
            <w:sz w:val="28"/>
            <w:szCs w:val="28"/>
            <w:lang w:val="en-GB"/>
          </w:rPr>
          <w:t>http://www.pianodistudio.ch/</w:t>
        </w:r>
      </w:hyperlink>
      <w:r>
        <w:rPr>
          <w:sz w:val="28"/>
          <w:szCs w:val="28"/>
          <w:lang w:val="en-GB"/>
        </w:rPr>
        <w:t xml:space="preserve"> </w:t>
      </w:r>
    </w:p>
    <w:p w:rsidR="0003602B" w:rsidRPr="00CA7AC8" w:rsidRDefault="0003602B" w:rsidP="0003602B">
      <w:pPr>
        <w:ind w:left="360"/>
        <w:rPr>
          <w:sz w:val="28"/>
          <w:szCs w:val="28"/>
        </w:rPr>
      </w:pPr>
    </w:p>
    <w:sectPr w:rsidR="0003602B" w:rsidRPr="00CA7AC8" w:rsidSect="00A373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32" w:rsidRDefault="00283B32" w:rsidP="007D4B03">
      <w:pPr>
        <w:spacing w:after="0" w:line="240" w:lineRule="auto"/>
      </w:pPr>
      <w:r>
        <w:separator/>
      </w:r>
    </w:p>
  </w:endnote>
  <w:endnote w:type="continuationSeparator" w:id="0">
    <w:p w:rsidR="00283B32" w:rsidRDefault="00283B32" w:rsidP="007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80858"/>
      <w:docPartObj>
        <w:docPartGallery w:val="Page Numbers (Bottom of Page)"/>
        <w:docPartUnique/>
      </w:docPartObj>
    </w:sdtPr>
    <w:sdtEndPr/>
    <w:sdtContent>
      <w:p w:rsidR="007D4B03" w:rsidRDefault="00283B32">
        <w:pPr>
          <w:pStyle w:val="Pieddepage"/>
        </w:pPr>
        <w:r>
          <w:pict>
            <v:rect id="Rectangle 11"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7D4B03" w:rsidRDefault="007D4B03">
                            <w:pPr>
                              <w:jc w:val="center"/>
                              <w:rPr>
                                <w:rFonts w:asciiTheme="majorHAnsi" w:eastAsiaTheme="majorEastAsia" w:hAnsiTheme="majorHAnsi" w:cstheme="majorBidi"/>
                                <w:sz w:val="48"/>
                                <w:szCs w:val="48"/>
                              </w:rPr>
                            </w:pPr>
                            <w:r>
                              <w:rPr>
                                <w:rFonts w:cs="Times New Roman"/>
                              </w:rPr>
                              <w:fldChar w:fldCharType="begin"/>
                            </w:r>
                            <w:r>
                              <w:instrText>PAGE   \* MERGEFORMAT</w:instrText>
                            </w:r>
                            <w:r>
                              <w:rPr>
                                <w:rFonts w:cs="Times New Roman"/>
                              </w:rPr>
                              <w:fldChar w:fldCharType="separate"/>
                            </w:r>
                            <w:r w:rsidR="00A60A04" w:rsidRPr="00A60A04">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32" w:rsidRDefault="00283B32" w:rsidP="007D4B03">
      <w:pPr>
        <w:spacing w:after="0" w:line="240" w:lineRule="auto"/>
      </w:pPr>
      <w:r>
        <w:separator/>
      </w:r>
    </w:p>
  </w:footnote>
  <w:footnote w:type="continuationSeparator" w:id="0">
    <w:p w:rsidR="00283B32" w:rsidRDefault="00283B32" w:rsidP="007D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186"/>
    <w:multiLevelType w:val="hybridMultilevel"/>
    <w:tmpl w:val="5F4088FE"/>
    <w:lvl w:ilvl="0" w:tplc="12E41BB2">
      <w:start w:val="1"/>
      <w:numFmt w:val="decimal"/>
      <w:pStyle w:val="Diapo"/>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13D0D"/>
    <w:multiLevelType w:val="hybridMultilevel"/>
    <w:tmpl w:val="0CD0E3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A7628C"/>
    <w:multiLevelType w:val="hybridMultilevel"/>
    <w:tmpl w:val="B78E6A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986472"/>
    <w:multiLevelType w:val="hybridMultilevel"/>
    <w:tmpl w:val="62548B3C"/>
    <w:lvl w:ilvl="0" w:tplc="2F6A583A">
      <w:start w:val="10"/>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C8303F"/>
    <w:multiLevelType w:val="hybridMultilevel"/>
    <w:tmpl w:val="A1BE87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87576E"/>
    <w:multiLevelType w:val="hybridMultilevel"/>
    <w:tmpl w:val="577CBC42"/>
    <w:lvl w:ilvl="0" w:tplc="95F68D7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C7D33"/>
    <w:multiLevelType w:val="hybridMultilevel"/>
    <w:tmpl w:val="11BE22C6"/>
    <w:lvl w:ilvl="0" w:tplc="8666733A">
      <w:numFmt w:val="bullet"/>
      <w:lvlText w:val="-"/>
      <w:lvlJc w:val="left"/>
      <w:pPr>
        <w:ind w:left="786" w:hanging="360"/>
      </w:pPr>
      <w:rPr>
        <w:rFonts w:ascii="Calibri" w:eastAsiaTheme="minorEastAsia" w:hAnsi="Calibri" w:cstheme="minorBidi" w:hint="default"/>
        <w:b/>
        <w:color w:val="FF0000"/>
        <w:sz w:val="4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9FE1C55"/>
    <w:multiLevelType w:val="hybridMultilevel"/>
    <w:tmpl w:val="41E8E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B8F27D3"/>
    <w:multiLevelType w:val="hybridMultilevel"/>
    <w:tmpl w:val="0A28E512"/>
    <w:lvl w:ilvl="0" w:tplc="F6246C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008"/>
    <w:rsid w:val="000158DC"/>
    <w:rsid w:val="0003602B"/>
    <w:rsid w:val="0004723C"/>
    <w:rsid w:val="00066F21"/>
    <w:rsid w:val="00076E8F"/>
    <w:rsid w:val="000840F2"/>
    <w:rsid w:val="00086B16"/>
    <w:rsid w:val="000919FF"/>
    <w:rsid w:val="00094550"/>
    <w:rsid w:val="00097F7E"/>
    <w:rsid w:val="000A2092"/>
    <w:rsid w:val="000B4741"/>
    <w:rsid w:val="000C5D54"/>
    <w:rsid w:val="000D6AD1"/>
    <w:rsid w:val="000E2B38"/>
    <w:rsid w:val="000E7F4C"/>
    <w:rsid w:val="000F34D6"/>
    <w:rsid w:val="000F4646"/>
    <w:rsid w:val="00100C26"/>
    <w:rsid w:val="001157A1"/>
    <w:rsid w:val="00143F8D"/>
    <w:rsid w:val="00150B48"/>
    <w:rsid w:val="001B0191"/>
    <w:rsid w:val="001C1C73"/>
    <w:rsid w:val="001E5560"/>
    <w:rsid w:val="001E7D5C"/>
    <w:rsid w:val="00211744"/>
    <w:rsid w:val="00283B32"/>
    <w:rsid w:val="00287A4E"/>
    <w:rsid w:val="002A03ED"/>
    <w:rsid w:val="002A0DE5"/>
    <w:rsid w:val="002F17C6"/>
    <w:rsid w:val="002F2BFD"/>
    <w:rsid w:val="002F35E1"/>
    <w:rsid w:val="00302269"/>
    <w:rsid w:val="0035168B"/>
    <w:rsid w:val="00352261"/>
    <w:rsid w:val="00374852"/>
    <w:rsid w:val="00395A68"/>
    <w:rsid w:val="00402D95"/>
    <w:rsid w:val="00423AF7"/>
    <w:rsid w:val="004270A1"/>
    <w:rsid w:val="00436C8D"/>
    <w:rsid w:val="004564A3"/>
    <w:rsid w:val="00471FDF"/>
    <w:rsid w:val="004A437F"/>
    <w:rsid w:val="004A4CDC"/>
    <w:rsid w:val="004C6023"/>
    <w:rsid w:val="004F4B97"/>
    <w:rsid w:val="00513598"/>
    <w:rsid w:val="00513DEA"/>
    <w:rsid w:val="00517F89"/>
    <w:rsid w:val="00525F62"/>
    <w:rsid w:val="00571DD9"/>
    <w:rsid w:val="00580E34"/>
    <w:rsid w:val="00586827"/>
    <w:rsid w:val="00587AF8"/>
    <w:rsid w:val="005B5B86"/>
    <w:rsid w:val="00617157"/>
    <w:rsid w:val="006529F1"/>
    <w:rsid w:val="00663D61"/>
    <w:rsid w:val="00671833"/>
    <w:rsid w:val="0068525D"/>
    <w:rsid w:val="006A3D63"/>
    <w:rsid w:val="006B25AE"/>
    <w:rsid w:val="006C1924"/>
    <w:rsid w:val="006F1F6A"/>
    <w:rsid w:val="006F34B9"/>
    <w:rsid w:val="006F6AC7"/>
    <w:rsid w:val="007043D8"/>
    <w:rsid w:val="007121B6"/>
    <w:rsid w:val="007203C9"/>
    <w:rsid w:val="00744C52"/>
    <w:rsid w:val="00755989"/>
    <w:rsid w:val="007607A2"/>
    <w:rsid w:val="0076459A"/>
    <w:rsid w:val="00776015"/>
    <w:rsid w:val="007A65E5"/>
    <w:rsid w:val="007A737D"/>
    <w:rsid w:val="007B11BE"/>
    <w:rsid w:val="007B3E92"/>
    <w:rsid w:val="007D4B03"/>
    <w:rsid w:val="007F41C2"/>
    <w:rsid w:val="00800809"/>
    <w:rsid w:val="00807632"/>
    <w:rsid w:val="00807B73"/>
    <w:rsid w:val="008139B4"/>
    <w:rsid w:val="00847AA5"/>
    <w:rsid w:val="00851DBB"/>
    <w:rsid w:val="00856551"/>
    <w:rsid w:val="008625C7"/>
    <w:rsid w:val="00874850"/>
    <w:rsid w:val="00887EFB"/>
    <w:rsid w:val="008B5991"/>
    <w:rsid w:val="008B6A2F"/>
    <w:rsid w:val="008E6C38"/>
    <w:rsid w:val="009025FC"/>
    <w:rsid w:val="00920487"/>
    <w:rsid w:val="009363DF"/>
    <w:rsid w:val="009708E6"/>
    <w:rsid w:val="009B4C35"/>
    <w:rsid w:val="009D3A49"/>
    <w:rsid w:val="009D4CCE"/>
    <w:rsid w:val="009D5C52"/>
    <w:rsid w:val="009D5D31"/>
    <w:rsid w:val="00A02D0A"/>
    <w:rsid w:val="00A1017B"/>
    <w:rsid w:val="00A11C4B"/>
    <w:rsid w:val="00A2374A"/>
    <w:rsid w:val="00A3504F"/>
    <w:rsid w:val="00A37340"/>
    <w:rsid w:val="00A51F0C"/>
    <w:rsid w:val="00A60A04"/>
    <w:rsid w:val="00A866B1"/>
    <w:rsid w:val="00A91A27"/>
    <w:rsid w:val="00A92777"/>
    <w:rsid w:val="00AA51D9"/>
    <w:rsid w:val="00AC07EE"/>
    <w:rsid w:val="00AE370F"/>
    <w:rsid w:val="00AF6292"/>
    <w:rsid w:val="00B0160E"/>
    <w:rsid w:val="00B15CA3"/>
    <w:rsid w:val="00B17709"/>
    <w:rsid w:val="00B24191"/>
    <w:rsid w:val="00B350C8"/>
    <w:rsid w:val="00B41874"/>
    <w:rsid w:val="00B41981"/>
    <w:rsid w:val="00B4445D"/>
    <w:rsid w:val="00B459EF"/>
    <w:rsid w:val="00B97AC6"/>
    <w:rsid w:val="00C2435F"/>
    <w:rsid w:val="00C37670"/>
    <w:rsid w:val="00C406CA"/>
    <w:rsid w:val="00C82D5B"/>
    <w:rsid w:val="00C93FA6"/>
    <w:rsid w:val="00CA59CF"/>
    <w:rsid w:val="00CA7AC8"/>
    <w:rsid w:val="00CB2BFA"/>
    <w:rsid w:val="00CB3429"/>
    <w:rsid w:val="00CE1EC2"/>
    <w:rsid w:val="00D11008"/>
    <w:rsid w:val="00D21E86"/>
    <w:rsid w:val="00D53EEC"/>
    <w:rsid w:val="00D81EF4"/>
    <w:rsid w:val="00D8584F"/>
    <w:rsid w:val="00DA2D87"/>
    <w:rsid w:val="00DB50FC"/>
    <w:rsid w:val="00DD67E8"/>
    <w:rsid w:val="00DF5AC8"/>
    <w:rsid w:val="00E334F8"/>
    <w:rsid w:val="00E365DE"/>
    <w:rsid w:val="00E67E15"/>
    <w:rsid w:val="00E75D72"/>
    <w:rsid w:val="00EA4BC3"/>
    <w:rsid w:val="00EA4F97"/>
    <w:rsid w:val="00EB2714"/>
    <w:rsid w:val="00EB794E"/>
    <w:rsid w:val="00EC6844"/>
    <w:rsid w:val="00F165F7"/>
    <w:rsid w:val="00F31608"/>
    <w:rsid w:val="00F56003"/>
    <w:rsid w:val="00F90D7A"/>
    <w:rsid w:val="00FA542B"/>
    <w:rsid w:val="00FB47BB"/>
    <w:rsid w:val="00FE543B"/>
    <w:rsid w:val="00FF52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193624-F64F-4F50-9E35-723934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8B"/>
    <w:pPr>
      <w:spacing w:after="200" w:line="276" w:lineRule="auto"/>
    </w:pPr>
    <w:rPr>
      <w:rFonts w:eastAsiaTheme="minorEastAsia"/>
      <w:lang w:eastAsia="ja-JP"/>
    </w:rPr>
  </w:style>
  <w:style w:type="paragraph" w:styleId="Titre1">
    <w:name w:val="heading 1"/>
    <w:basedOn w:val="Normal"/>
    <w:next w:val="Normal"/>
    <w:link w:val="Titre1Car"/>
    <w:uiPriority w:val="9"/>
    <w:qFormat/>
    <w:rsid w:val="00EA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link w:val="ParagraphedelisteCar"/>
    <w:uiPriority w:val="34"/>
    <w:qFormat/>
    <w:rsid w:val="00EA4F97"/>
    <w:pPr>
      <w:ind w:left="720"/>
      <w:contextualSpacing/>
    </w:pPr>
  </w:style>
  <w:style w:type="character" w:customStyle="1" w:styleId="Titre1Car">
    <w:name w:val="Titre 1 Car"/>
    <w:basedOn w:val="Policepardfaut"/>
    <w:link w:val="Titre1"/>
    <w:uiPriority w:val="9"/>
    <w:rsid w:val="00EA4F97"/>
    <w:rPr>
      <w:rFonts w:asciiTheme="majorHAnsi" w:eastAsiaTheme="majorEastAsia" w:hAnsiTheme="majorHAnsi" w:cstheme="majorBidi"/>
      <w:color w:val="2E74B5" w:themeColor="accent1" w:themeShade="BF"/>
      <w:sz w:val="32"/>
      <w:szCs w:val="32"/>
      <w:lang w:eastAsia="ja-JP"/>
    </w:rPr>
  </w:style>
  <w:style w:type="paragraph" w:styleId="En-tte">
    <w:name w:val="header"/>
    <w:basedOn w:val="Normal"/>
    <w:link w:val="En-tteCar"/>
    <w:uiPriority w:val="99"/>
    <w:unhideWhenUsed/>
    <w:rsid w:val="007D4B03"/>
    <w:pPr>
      <w:tabs>
        <w:tab w:val="center" w:pos="4536"/>
        <w:tab w:val="right" w:pos="9072"/>
      </w:tabs>
      <w:spacing w:after="0" w:line="240" w:lineRule="auto"/>
    </w:pPr>
  </w:style>
  <w:style w:type="character" w:customStyle="1" w:styleId="En-tteCar">
    <w:name w:val="En-tête Car"/>
    <w:basedOn w:val="Policepardfaut"/>
    <w:link w:val="En-tte"/>
    <w:uiPriority w:val="99"/>
    <w:rsid w:val="007D4B03"/>
    <w:rPr>
      <w:rFonts w:eastAsiaTheme="minorEastAsia"/>
      <w:lang w:eastAsia="ja-JP"/>
    </w:rPr>
  </w:style>
  <w:style w:type="paragraph" w:styleId="Pieddepage">
    <w:name w:val="footer"/>
    <w:basedOn w:val="Normal"/>
    <w:link w:val="PieddepageCar"/>
    <w:uiPriority w:val="99"/>
    <w:unhideWhenUsed/>
    <w:rsid w:val="007D4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B03"/>
    <w:rPr>
      <w:rFonts w:eastAsiaTheme="minorEastAsia"/>
      <w:lang w:eastAsia="ja-JP"/>
    </w:rPr>
  </w:style>
  <w:style w:type="paragraph" w:customStyle="1" w:styleId="Diapo">
    <w:name w:val="Diapo"/>
    <w:basedOn w:val="Paragraphedeliste"/>
    <w:link w:val="DiapoCar"/>
    <w:qFormat/>
    <w:rsid w:val="004A4CDC"/>
    <w:pPr>
      <w:numPr>
        <w:numId w:val="1"/>
      </w:numPr>
      <w:spacing w:before="120" w:after="320"/>
      <w:ind w:left="283" w:hanging="567"/>
    </w:pPr>
    <w:rPr>
      <w:sz w:val="28"/>
      <w:szCs w:val="28"/>
    </w:rPr>
  </w:style>
  <w:style w:type="character" w:customStyle="1" w:styleId="ParagraphedelisteCar">
    <w:name w:val="Paragraphe de liste Car"/>
    <w:basedOn w:val="Policepardfaut"/>
    <w:link w:val="Paragraphedeliste"/>
    <w:uiPriority w:val="34"/>
    <w:rsid w:val="004A4CDC"/>
    <w:rPr>
      <w:rFonts w:eastAsiaTheme="minorEastAsia"/>
      <w:lang w:eastAsia="ja-JP"/>
    </w:rPr>
  </w:style>
  <w:style w:type="character" w:customStyle="1" w:styleId="DiapoCar">
    <w:name w:val="Diapo Car"/>
    <w:basedOn w:val="ParagraphedelisteCar"/>
    <w:link w:val="Diapo"/>
    <w:rsid w:val="004A4CDC"/>
    <w:rPr>
      <w:rFonts w:eastAsiaTheme="minorEastAsia"/>
      <w:sz w:val="28"/>
      <w:szCs w:val="28"/>
      <w:lang w:eastAsia="ja-JP"/>
    </w:rPr>
  </w:style>
  <w:style w:type="character" w:styleId="Lienhypertexte">
    <w:name w:val="Hyperlink"/>
    <w:basedOn w:val="Policepardfaut"/>
    <w:uiPriority w:val="99"/>
    <w:unhideWhenUsed/>
    <w:rsid w:val="00A60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distudio.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42A5-85C2-4051-8D73-71888C1A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Candelier</dc:creator>
  <cp:keywords/>
  <dc:description/>
  <cp:lastModifiedBy>Michel Candelier</cp:lastModifiedBy>
  <cp:revision>8</cp:revision>
  <dcterms:created xsi:type="dcterms:W3CDTF">2015-12-16T17:57:00Z</dcterms:created>
  <dcterms:modified xsi:type="dcterms:W3CDTF">2016-12-26T13:20:00Z</dcterms:modified>
</cp:coreProperties>
</file>